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CD3" w:rsidRPr="00440B9F" w:rsidRDefault="00A15CD3" w:rsidP="001761FF">
      <w:pPr>
        <w:spacing w:after="0" w:line="240" w:lineRule="auto"/>
        <w:jc w:val="both"/>
        <w:outlineLvl w:val="0"/>
        <w:rPr>
          <w:rFonts w:ascii="Arial" w:hAnsi="Arial" w:cs="Arial"/>
          <w:b/>
          <w:smallCaps/>
          <w:sz w:val="22"/>
          <w:szCs w:val="22"/>
        </w:rPr>
      </w:pPr>
    </w:p>
    <w:p w:rsidR="00A15CD3" w:rsidRPr="00440B9F" w:rsidRDefault="00A15CD3" w:rsidP="001761FF">
      <w:pPr>
        <w:spacing w:after="0" w:line="240" w:lineRule="auto"/>
        <w:jc w:val="both"/>
        <w:outlineLvl w:val="0"/>
        <w:rPr>
          <w:rFonts w:ascii="Arial" w:hAnsi="Arial" w:cs="Arial"/>
          <w:b/>
          <w:smallCaps/>
          <w:sz w:val="22"/>
          <w:szCs w:val="22"/>
        </w:rPr>
      </w:pPr>
    </w:p>
    <w:p w:rsidR="00A15CD3" w:rsidRPr="00440B9F" w:rsidRDefault="00A15CD3" w:rsidP="001761FF">
      <w:pPr>
        <w:spacing w:after="0" w:line="240" w:lineRule="auto"/>
        <w:jc w:val="both"/>
        <w:outlineLvl w:val="0"/>
        <w:rPr>
          <w:rFonts w:ascii="Arial" w:hAnsi="Arial" w:cs="Arial"/>
          <w:b/>
          <w:smallCaps/>
          <w:sz w:val="22"/>
          <w:szCs w:val="22"/>
        </w:rPr>
      </w:pPr>
    </w:p>
    <w:p w:rsidR="00A15CD3" w:rsidRPr="00440B9F" w:rsidRDefault="00A15CD3" w:rsidP="001761FF">
      <w:pPr>
        <w:spacing w:after="0" w:line="240" w:lineRule="auto"/>
        <w:jc w:val="both"/>
        <w:outlineLvl w:val="0"/>
        <w:rPr>
          <w:rFonts w:ascii="Arial" w:hAnsi="Arial" w:cs="Arial"/>
          <w:b/>
          <w:smallCaps/>
          <w:sz w:val="22"/>
          <w:szCs w:val="22"/>
        </w:rPr>
      </w:pPr>
    </w:p>
    <w:p w:rsidR="00A15CD3" w:rsidRPr="00440B9F" w:rsidRDefault="00A15CD3" w:rsidP="001761FF">
      <w:pPr>
        <w:spacing w:after="0" w:line="240" w:lineRule="auto"/>
        <w:jc w:val="both"/>
        <w:outlineLvl w:val="0"/>
        <w:rPr>
          <w:rFonts w:ascii="Arial" w:hAnsi="Arial" w:cs="Arial"/>
          <w:b/>
          <w:smallCaps/>
          <w:sz w:val="22"/>
          <w:szCs w:val="22"/>
        </w:rPr>
      </w:pPr>
    </w:p>
    <w:p w:rsidR="00A15CD3" w:rsidRPr="00440B9F" w:rsidRDefault="00A15CD3" w:rsidP="001761FF">
      <w:pPr>
        <w:spacing w:after="0" w:line="240" w:lineRule="auto"/>
        <w:jc w:val="center"/>
        <w:outlineLvl w:val="0"/>
        <w:rPr>
          <w:rFonts w:ascii="Arial" w:hAnsi="Arial" w:cs="Arial"/>
          <w:b/>
          <w:smallCaps/>
          <w:sz w:val="22"/>
          <w:szCs w:val="22"/>
        </w:rPr>
      </w:pPr>
      <w:r w:rsidRPr="00440B9F">
        <w:rPr>
          <w:rFonts w:ascii="Arial" w:hAnsi="Arial" w:cs="Arial"/>
          <w:b/>
          <w:smallCaps/>
          <w:sz w:val="22"/>
          <w:szCs w:val="22"/>
        </w:rPr>
        <w:t>Introduction</w:t>
      </w:r>
    </w:p>
    <w:p w:rsidR="00A15CD3" w:rsidRPr="00440B9F" w:rsidRDefault="00A15CD3" w:rsidP="001761FF">
      <w:pPr>
        <w:spacing w:after="0" w:line="240" w:lineRule="auto"/>
        <w:jc w:val="both"/>
        <w:rPr>
          <w:rFonts w:ascii="Palatino Linotype" w:hAnsi="Palatino Linotype"/>
          <w:sz w:val="22"/>
          <w:szCs w:val="22"/>
        </w:rPr>
      </w:pPr>
    </w:p>
    <w:p w:rsidR="00A15CD3" w:rsidRPr="00440B9F" w:rsidRDefault="00A15CD3" w:rsidP="001761FF">
      <w:pPr>
        <w:spacing w:after="0" w:line="240" w:lineRule="auto"/>
        <w:jc w:val="both"/>
        <w:rPr>
          <w:rFonts w:ascii="Palatino Linotype" w:hAnsi="Palatino Linotype"/>
          <w:sz w:val="22"/>
          <w:szCs w:val="22"/>
        </w:rPr>
      </w:pPr>
    </w:p>
    <w:p w:rsidR="00A15CD3" w:rsidRPr="00440B9F" w:rsidRDefault="00A15CD3" w:rsidP="001761FF">
      <w:pPr>
        <w:spacing w:after="0" w:line="240" w:lineRule="auto"/>
        <w:jc w:val="both"/>
        <w:rPr>
          <w:rFonts w:ascii="Palatino Linotype" w:hAnsi="Palatino Linotype"/>
          <w:sz w:val="22"/>
          <w:szCs w:val="22"/>
        </w:rPr>
      </w:pPr>
    </w:p>
    <w:p w:rsidR="00A15CD3" w:rsidRPr="00440B9F" w:rsidRDefault="00A15CD3" w:rsidP="001761FF">
      <w:pPr>
        <w:spacing w:after="0" w:line="240" w:lineRule="auto"/>
        <w:jc w:val="both"/>
        <w:rPr>
          <w:rFonts w:ascii="Palatino Linotype" w:hAnsi="Palatino Linotype"/>
          <w:sz w:val="22"/>
          <w:szCs w:val="22"/>
        </w:rPr>
      </w:pPr>
    </w:p>
    <w:p w:rsidR="00A15CD3" w:rsidRPr="00440B9F" w:rsidRDefault="00A15CD3" w:rsidP="001761FF">
      <w:pPr>
        <w:spacing w:after="0" w:line="240" w:lineRule="auto"/>
        <w:jc w:val="both"/>
        <w:rPr>
          <w:rFonts w:ascii="Palatino Linotype" w:hAnsi="Palatino Linotype"/>
          <w:sz w:val="22"/>
          <w:szCs w:val="22"/>
        </w:rPr>
      </w:pPr>
    </w:p>
    <w:p w:rsidR="00A15CD3" w:rsidRPr="00440B9F" w:rsidRDefault="00A15CD3" w:rsidP="001761FF">
      <w:pPr>
        <w:spacing w:after="0" w:line="240" w:lineRule="auto"/>
        <w:jc w:val="both"/>
        <w:rPr>
          <w:rFonts w:ascii="Palatino Linotype" w:hAnsi="Palatino Linotype"/>
          <w:sz w:val="22"/>
          <w:szCs w:val="22"/>
        </w:rPr>
      </w:pPr>
    </w:p>
    <w:p w:rsidR="00A15CD3" w:rsidRPr="00440B9F" w:rsidRDefault="00A15CD3" w:rsidP="001761FF">
      <w:pPr>
        <w:spacing w:after="0" w:line="240" w:lineRule="auto"/>
        <w:jc w:val="both"/>
        <w:rPr>
          <w:rFonts w:ascii="Palatino Linotype" w:hAnsi="Palatino Linotype"/>
          <w:sz w:val="22"/>
          <w:szCs w:val="22"/>
        </w:rPr>
      </w:pPr>
    </w:p>
    <w:p w:rsidR="00A15CD3" w:rsidRPr="00440B9F" w:rsidRDefault="00A15CD3" w:rsidP="001761FF">
      <w:pPr>
        <w:spacing w:after="0" w:line="240" w:lineRule="auto"/>
        <w:jc w:val="both"/>
        <w:rPr>
          <w:rFonts w:ascii="Palatino Linotype" w:hAnsi="Palatino Linotype"/>
          <w:sz w:val="22"/>
          <w:szCs w:val="22"/>
        </w:rPr>
      </w:pPr>
    </w:p>
    <w:p w:rsidR="00A15CD3" w:rsidRPr="00440B9F" w:rsidRDefault="00A15CD3" w:rsidP="001761FF">
      <w:pPr>
        <w:spacing w:after="0" w:line="240" w:lineRule="auto"/>
        <w:jc w:val="both"/>
        <w:rPr>
          <w:rFonts w:ascii="Palatino Linotype" w:hAnsi="Palatino Linotype"/>
          <w:sz w:val="22"/>
          <w:szCs w:val="22"/>
        </w:rPr>
      </w:pPr>
    </w:p>
    <w:p w:rsidR="00A15CD3" w:rsidRPr="00440B9F" w:rsidRDefault="00A15CD3" w:rsidP="001761FF">
      <w:pPr>
        <w:tabs>
          <w:tab w:val="left" w:pos="2445"/>
        </w:tabs>
        <w:spacing w:after="0" w:line="360" w:lineRule="auto"/>
        <w:jc w:val="both"/>
        <w:rPr>
          <w:rFonts w:ascii="Palatino Linotype" w:hAnsi="Palatino Linotype"/>
          <w:sz w:val="22"/>
          <w:szCs w:val="22"/>
        </w:rPr>
      </w:pPr>
      <w:r w:rsidRPr="00440B9F">
        <w:rPr>
          <w:rFonts w:ascii="Palatino Linotype" w:hAnsi="Palatino Linotype"/>
          <w:sz w:val="22"/>
          <w:szCs w:val="22"/>
        </w:rPr>
        <w:tab/>
      </w:r>
    </w:p>
    <w:p w:rsidR="00A15CD3" w:rsidRPr="00440B9F" w:rsidRDefault="00A15CD3" w:rsidP="001761FF">
      <w:pPr>
        <w:spacing w:after="0" w:line="360" w:lineRule="auto"/>
        <w:jc w:val="both"/>
        <w:rPr>
          <w:rFonts w:ascii="Palatino Linotype" w:hAnsi="Palatino Linotype"/>
          <w:sz w:val="22"/>
          <w:szCs w:val="22"/>
        </w:rPr>
      </w:pPr>
      <w:r w:rsidRPr="00440B9F">
        <w:rPr>
          <w:rFonts w:ascii="Palatino Linotype" w:hAnsi="Palatino Linotype"/>
          <w:sz w:val="22"/>
          <w:szCs w:val="22"/>
        </w:rPr>
        <w:t>In early 1860, John Wortabet applied to the United Presbyterian Church’s (UPC) Synod of Edinburgh to ‘be admitted as a [m]ember and [m]inister of this church’.</w:t>
      </w:r>
      <w:r w:rsidRPr="00440B9F">
        <w:rPr>
          <w:rFonts w:ascii="Palatino Linotype" w:hAnsi="Palatino Linotype"/>
          <w:sz w:val="22"/>
          <w:szCs w:val="22"/>
          <w:vertAlign w:val="superscript"/>
        </w:rPr>
        <w:footnoteReference w:id="2"/>
      </w:r>
      <w:r w:rsidRPr="00440B9F">
        <w:rPr>
          <w:rFonts w:ascii="Palatino Linotype" w:hAnsi="Palatino Linotype"/>
          <w:sz w:val="22"/>
          <w:szCs w:val="22"/>
        </w:rPr>
        <w:t xml:space="preserve"> In so doing, John severed his ecclesiastical ties with the American Board of Commissioners for Foreign Missions (ABCFM) with whom he had been associated since his youth. Before residing in Scotland, John and his wife, Salome (née Carabet) were active members in the Protestant community of Ottoman Syria, which commenced in 1823 when missionaries from the ABCFM settled in Beirut. Both John and Salome were born to parents who were originally Armenian Christians, but who became Protestants during the 1820s after their engagements with the ABCFM missionaries. Both John and Salome were educated at the ABCFM’s schools in Beirut and were accepted as members of the ABCFM-linked Evangelical Church of Beirut (ECB), (f. 1847). As a young woman, Salome taught at the Protestants’ schools and worked for a short period at their mission to Mosul.</w:t>
      </w:r>
      <w:r w:rsidRPr="00440B9F">
        <w:rPr>
          <w:rFonts w:ascii="Palatino Linotype" w:hAnsi="Palatino Linotype"/>
          <w:sz w:val="22"/>
          <w:szCs w:val="22"/>
          <w:vertAlign w:val="superscript"/>
        </w:rPr>
        <w:footnoteReference w:id="3"/>
      </w:r>
      <w:r w:rsidRPr="00440B9F">
        <w:rPr>
          <w:rFonts w:ascii="Palatino Linotype" w:hAnsi="Palatino Linotype"/>
          <w:sz w:val="22"/>
          <w:szCs w:val="22"/>
        </w:rPr>
        <w:t xml:space="preserve"> After marriage, the Wortabets moved to Hasbaya on Mount Lebanon, where John was hired by the ABCFM as ‘native preacher’ for the new converts at this location, while Salome ran a school with John’s sister, Hannie. Despite the longevity of their association with the ABCFM however, John felt that his work was curtailed by the ABCFM’s policies and ‘considered it unpresbyterial [</w:t>
      </w:r>
      <w:r w:rsidRPr="00440B9F">
        <w:rPr>
          <w:rFonts w:ascii="Palatino Linotype" w:hAnsi="Palatino Linotype"/>
          <w:i/>
          <w:sz w:val="22"/>
          <w:szCs w:val="22"/>
        </w:rPr>
        <w:t>sic</w:t>
      </w:r>
      <w:r w:rsidRPr="00440B9F">
        <w:rPr>
          <w:rFonts w:ascii="Palatino Linotype" w:hAnsi="Palatino Linotype"/>
          <w:sz w:val="22"/>
          <w:szCs w:val="22"/>
        </w:rPr>
        <w:t>] that native ministers should be called upon to occupy a lower status than foreign missionaries, and placed under [ABCFM missionary] supervision.’</w:t>
      </w:r>
      <w:r w:rsidRPr="00440B9F">
        <w:rPr>
          <w:rStyle w:val="FootnoteReference"/>
          <w:rFonts w:ascii="Palatino Linotype" w:hAnsi="Palatino Linotype"/>
          <w:sz w:val="22"/>
          <w:szCs w:val="22"/>
        </w:rPr>
        <w:footnoteReference w:id="4"/>
      </w:r>
      <w:r w:rsidRPr="00440B9F">
        <w:rPr>
          <w:rFonts w:ascii="Palatino Linotype" w:hAnsi="Palatino Linotype"/>
          <w:sz w:val="22"/>
          <w:szCs w:val="22"/>
        </w:rPr>
        <w:t xml:space="preserve"> These frustrations lead to John’s request of transfer to the UPC in 1860, which was accepted, and John was sent as a UPC missionary to the Jews in Aleppo that summer.</w:t>
      </w:r>
      <w:r w:rsidRPr="00440B9F">
        <w:rPr>
          <w:rStyle w:val="FootnoteReference"/>
          <w:rFonts w:ascii="Palatino Linotype" w:hAnsi="Palatino Linotype"/>
          <w:sz w:val="22"/>
          <w:szCs w:val="22"/>
        </w:rPr>
        <w:footnoteReference w:id="5"/>
      </w:r>
      <w:r w:rsidRPr="00440B9F">
        <w:rPr>
          <w:rFonts w:ascii="Palatino Linotype" w:hAnsi="Palatino Linotype"/>
          <w:sz w:val="22"/>
          <w:szCs w:val="22"/>
        </w:rPr>
        <w:t xml:space="preserve"> </w:t>
      </w:r>
    </w:p>
    <w:p w:rsidR="00A15CD3" w:rsidRPr="00440B9F" w:rsidRDefault="00A15CD3" w:rsidP="001761FF">
      <w:pPr>
        <w:spacing w:after="0" w:line="360" w:lineRule="auto"/>
        <w:jc w:val="both"/>
        <w:rPr>
          <w:rFonts w:ascii="Palatino Linotype" w:hAnsi="Palatino Linotype"/>
          <w:sz w:val="22"/>
          <w:szCs w:val="22"/>
        </w:rPr>
      </w:pPr>
      <w:r w:rsidRPr="00440B9F">
        <w:rPr>
          <w:rFonts w:ascii="Palatino Linotype" w:hAnsi="Palatino Linotype"/>
          <w:sz w:val="22"/>
          <w:szCs w:val="22"/>
        </w:rPr>
        <w:tab/>
        <w:t>The Wortabets’ multifaceted relationship with the ABCFM missionaries and their integral part in the Protestant community of Ottoman Syria encompasses many of the features that defined this missionary encounter. From the commencement of their mission to the region, the ABCFM missionaries forged relationships with the residents of Syria in the hopes of spreading their evangelical message. In so doing, they presented new theological concepts, ecclesiastical structures, social affiliations and cultural institutions, which were pursued by a number of individuals living in the region, including the Wortabets and Carabets. Although the ABCFM missionaries sought to regulate how their faith and culture was adapted to Syrian society, the characteristics that defined Protestantism in Syria was an amalgamation of beliefs and identities that reflects the different personalities and culture of those who created and composed this new church and social-political community.</w:t>
      </w:r>
    </w:p>
    <w:p w:rsidR="00A15CD3" w:rsidRPr="00440B9F" w:rsidRDefault="00A15CD3" w:rsidP="001761FF">
      <w:pPr>
        <w:spacing w:after="0" w:line="360" w:lineRule="auto"/>
        <w:jc w:val="both"/>
        <w:rPr>
          <w:rFonts w:ascii="Palatino Linotype" w:hAnsi="Palatino Linotype"/>
          <w:sz w:val="22"/>
          <w:szCs w:val="22"/>
        </w:rPr>
      </w:pPr>
      <w:r w:rsidRPr="00440B9F">
        <w:rPr>
          <w:rFonts w:ascii="Palatino Linotype" w:hAnsi="Palatino Linotype"/>
          <w:sz w:val="22"/>
          <w:szCs w:val="22"/>
        </w:rPr>
        <w:tab/>
        <w:t>This study investigates the individuals who formed the Protestant community and analyses the characteristics that identified these persons as Protestants. It begins in 1823, when the ABCFM’s ‘Syrian Station’ was founded in Beirut.</w:t>
      </w:r>
      <w:r w:rsidRPr="00440B9F">
        <w:rPr>
          <w:rFonts w:ascii="Palatino Linotype" w:hAnsi="Palatino Linotype"/>
          <w:sz w:val="22"/>
          <w:szCs w:val="22"/>
          <w:vertAlign w:val="superscript"/>
        </w:rPr>
        <w:footnoteReference w:id="6"/>
      </w:r>
      <w:r w:rsidRPr="00440B9F">
        <w:rPr>
          <w:rFonts w:ascii="Palatino Linotype" w:hAnsi="Palatino Linotype"/>
          <w:sz w:val="22"/>
          <w:szCs w:val="22"/>
        </w:rPr>
        <w:t xml:space="preserve"> This analysis concludes in 1860, when war ravaged Mount Lebanon and significantly disrupted the entire region. This end date affirms the research of other historians who argue that this violence was an important point in the transformations of regional political, economic and social systems.</w:t>
      </w:r>
      <w:r w:rsidRPr="00440B9F">
        <w:rPr>
          <w:rStyle w:val="FootnoteReference"/>
          <w:rFonts w:ascii="Palatino Linotype" w:hAnsi="Palatino Linotype"/>
          <w:sz w:val="22"/>
          <w:szCs w:val="22"/>
        </w:rPr>
        <w:footnoteReference w:id="7"/>
      </w:r>
      <w:r w:rsidRPr="00440B9F">
        <w:rPr>
          <w:rFonts w:ascii="Palatino Linotype" w:hAnsi="Palatino Linotype"/>
          <w:sz w:val="22"/>
          <w:szCs w:val="22"/>
        </w:rPr>
        <w:t xml:space="preserve"> These changes marked the end of this Protestant community, for the authority of the ABCFM was undermined by the arrival of new missionary organisations and the pursuit of alternative definitions of culture and religion. As a result, the period of 1823 to 1860 represents a distinctive phase for Protestantism in Ottoman Syria, when this community emerged and was defined by the ABCFM missionaries’ work with the residents of Syria.</w:t>
      </w:r>
    </w:p>
    <w:p w:rsidR="00A15CD3" w:rsidRPr="00440B9F" w:rsidRDefault="00A15CD3" w:rsidP="001761FF">
      <w:pPr>
        <w:spacing w:after="0" w:line="360" w:lineRule="auto"/>
        <w:jc w:val="both"/>
        <w:rPr>
          <w:rFonts w:ascii="Palatino Linotype" w:hAnsi="Palatino Linotype"/>
          <w:sz w:val="22"/>
          <w:szCs w:val="22"/>
        </w:rPr>
      </w:pPr>
    </w:p>
    <w:p w:rsidR="00A15CD3" w:rsidRPr="00440B9F" w:rsidRDefault="00A15CD3" w:rsidP="001761FF">
      <w:pPr>
        <w:spacing w:after="0" w:line="360" w:lineRule="auto"/>
        <w:jc w:val="both"/>
        <w:rPr>
          <w:rFonts w:ascii="Palatino Linotype" w:hAnsi="Palatino Linotype"/>
          <w:sz w:val="22"/>
          <w:szCs w:val="22"/>
        </w:rPr>
      </w:pPr>
    </w:p>
    <w:p w:rsidR="00A15CD3" w:rsidRPr="00440B9F" w:rsidRDefault="00A15CD3" w:rsidP="001761FF">
      <w:pPr>
        <w:spacing w:after="0" w:line="360" w:lineRule="auto"/>
        <w:jc w:val="center"/>
        <w:rPr>
          <w:rFonts w:ascii="Arial" w:hAnsi="Arial" w:cs="Arial"/>
          <w:smallCaps/>
          <w:sz w:val="22"/>
          <w:szCs w:val="22"/>
        </w:rPr>
      </w:pPr>
      <w:r w:rsidRPr="00440B9F">
        <w:rPr>
          <w:rFonts w:ascii="Arial" w:hAnsi="Arial" w:cs="Arial"/>
          <w:smallCaps/>
          <w:sz w:val="22"/>
          <w:szCs w:val="22"/>
        </w:rPr>
        <w:t>A Historiography of Missionary Encounters</w:t>
      </w:r>
    </w:p>
    <w:p w:rsidR="00A15CD3" w:rsidRPr="00440B9F" w:rsidRDefault="00A15CD3" w:rsidP="001761FF">
      <w:pPr>
        <w:spacing w:after="0" w:line="360" w:lineRule="auto"/>
        <w:jc w:val="both"/>
        <w:rPr>
          <w:rFonts w:ascii="Palatino Linotype" w:hAnsi="Palatino Linotype"/>
          <w:sz w:val="22"/>
          <w:szCs w:val="22"/>
        </w:rPr>
      </w:pPr>
      <w:r w:rsidRPr="00440B9F">
        <w:rPr>
          <w:rFonts w:ascii="Palatino Linotype" w:hAnsi="Palatino Linotype"/>
          <w:sz w:val="22"/>
          <w:szCs w:val="22"/>
        </w:rPr>
        <w:tab/>
      </w:r>
    </w:p>
    <w:p w:rsidR="00A15CD3" w:rsidRPr="00440B9F" w:rsidRDefault="00A15CD3" w:rsidP="001761FF">
      <w:pPr>
        <w:spacing w:after="0" w:line="360" w:lineRule="auto"/>
        <w:jc w:val="both"/>
        <w:rPr>
          <w:rFonts w:ascii="Palatino Linotype" w:hAnsi="Palatino Linotype"/>
          <w:sz w:val="22"/>
          <w:szCs w:val="22"/>
        </w:rPr>
      </w:pPr>
      <w:r w:rsidRPr="00440B9F">
        <w:rPr>
          <w:rFonts w:ascii="Palatino Linotype" w:hAnsi="Palatino Linotype"/>
          <w:sz w:val="22"/>
          <w:szCs w:val="22"/>
        </w:rPr>
        <w:t>The complexities of missionary and colonial encounters have emerged as an important topic for academic research in recent years. Previous interpretations of history employed simplistic binaries that have recently been challenged by scholars through their nuanced re-readings of the past and deconstruction of essentialist categorisations. Such scholars have revealed the manifold and at times contradictory reactions of people living in colonised areas to the colonising powers and cultures.</w:t>
      </w:r>
      <w:r w:rsidRPr="00440B9F">
        <w:rPr>
          <w:rFonts w:ascii="Palatino Linotype" w:hAnsi="Palatino Linotype"/>
          <w:sz w:val="22"/>
          <w:szCs w:val="22"/>
          <w:vertAlign w:val="superscript"/>
        </w:rPr>
        <w:footnoteReference w:id="8"/>
      </w:r>
      <w:r w:rsidRPr="00440B9F">
        <w:rPr>
          <w:rFonts w:ascii="Palatino Linotype" w:hAnsi="Palatino Linotype"/>
          <w:sz w:val="22"/>
          <w:szCs w:val="22"/>
        </w:rPr>
        <w:t xml:space="preserve"> In so doing, this research demonstrates that colonialism and intercultural encounters, like mission work, not only affected the people living on the ‘peripheries’, but was fundamental in shaping the culture and identity of those at the ‘metropole’.</w:t>
      </w:r>
      <w:r w:rsidRPr="00440B9F">
        <w:rPr>
          <w:rStyle w:val="FootnoteReference"/>
          <w:rFonts w:ascii="Palatino Linotype" w:hAnsi="Palatino Linotype"/>
          <w:sz w:val="22"/>
          <w:szCs w:val="22"/>
        </w:rPr>
        <w:footnoteReference w:id="9"/>
      </w:r>
      <w:r w:rsidRPr="00440B9F">
        <w:rPr>
          <w:rFonts w:ascii="Palatino Linotype" w:hAnsi="Palatino Linotype"/>
          <w:sz w:val="22"/>
          <w:szCs w:val="22"/>
        </w:rPr>
        <w:t xml:space="preserve"> This problematises and pluralises our perceptions of ‘modernity’, often through highlighting the process through which the standards of modernity and civility were created and promoted.</w:t>
      </w:r>
      <w:r w:rsidRPr="00440B9F">
        <w:rPr>
          <w:rStyle w:val="FootnoteReference"/>
          <w:rFonts w:ascii="Palatino Linotype" w:hAnsi="Palatino Linotype"/>
          <w:sz w:val="22"/>
          <w:szCs w:val="22"/>
        </w:rPr>
        <w:footnoteReference w:id="10"/>
      </w:r>
      <w:r w:rsidRPr="00440B9F">
        <w:rPr>
          <w:rFonts w:ascii="Palatino Linotype" w:hAnsi="Palatino Linotype"/>
          <w:sz w:val="22"/>
          <w:szCs w:val="22"/>
        </w:rPr>
        <w:t xml:space="preserve"> Other scholars have explored the ways that colonial and missionary encounters were both gendered and gendering experiences, through examining the manifold definitions of manhood and womanhood that were constructed and negotiated at these sites of contact.</w:t>
      </w:r>
      <w:r w:rsidRPr="00440B9F">
        <w:rPr>
          <w:rStyle w:val="FootnoteReference"/>
          <w:rFonts w:ascii="Palatino Linotype" w:hAnsi="Palatino Linotype"/>
          <w:sz w:val="22"/>
          <w:szCs w:val="22"/>
        </w:rPr>
        <w:footnoteReference w:id="11"/>
      </w:r>
      <w:r w:rsidRPr="00440B9F">
        <w:rPr>
          <w:rFonts w:ascii="Palatino Linotype" w:hAnsi="Palatino Linotype"/>
          <w:sz w:val="22"/>
          <w:szCs w:val="22"/>
        </w:rPr>
        <w:t xml:space="preserve"> As a result, the previous binaries of the colonised and coloniser, as well as male and female, have been transformed into a manifold network of accommodation, repression and subversion of identities. </w:t>
      </w:r>
    </w:p>
    <w:p w:rsidR="00A15CD3" w:rsidRPr="00440B9F" w:rsidRDefault="00A15CD3" w:rsidP="001761FF">
      <w:pPr>
        <w:spacing w:after="0" w:line="360" w:lineRule="auto"/>
        <w:jc w:val="both"/>
        <w:rPr>
          <w:rFonts w:ascii="Palatino Linotype" w:hAnsi="Palatino Linotype"/>
          <w:sz w:val="22"/>
          <w:szCs w:val="22"/>
        </w:rPr>
      </w:pPr>
      <w:r w:rsidRPr="00440B9F">
        <w:rPr>
          <w:rFonts w:ascii="Palatino Linotype" w:hAnsi="Palatino Linotype"/>
          <w:sz w:val="22"/>
          <w:szCs w:val="22"/>
        </w:rPr>
        <w:tab/>
        <w:t>Deciphering the role of missionaries within these complex networks has proved particularly challenging. While some scholars argue that missionaries were important in laying the ground work for later colonisation,</w:t>
      </w:r>
      <w:r w:rsidRPr="00440B9F">
        <w:rPr>
          <w:rFonts w:ascii="Palatino Linotype" w:hAnsi="Palatino Linotype"/>
          <w:sz w:val="22"/>
          <w:szCs w:val="22"/>
          <w:vertAlign w:val="superscript"/>
        </w:rPr>
        <w:footnoteReference w:id="12"/>
      </w:r>
      <w:r w:rsidRPr="00440B9F">
        <w:rPr>
          <w:rFonts w:ascii="Palatino Linotype" w:hAnsi="Palatino Linotype"/>
          <w:sz w:val="22"/>
          <w:szCs w:val="22"/>
        </w:rPr>
        <w:t xml:space="preserve"> others contend that missionaries functioned as part of the indirect channels of imperialism due to their pursuits of ‘colonial evangelism’.</w:t>
      </w:r>
      <w:r w:rsidRPr="00440B9F">
        <w:rPr>
          <w:rStyle w:val="FootnoteReference"/>
          <w:rFonts w:ascii="Palatino Linotype" w:hAnsi="Palatino Linotype"/>
          <w:sz w:val="22"/>
          <w:szCs w:val="22"/>
        </w:rPr>
        <w:footnoteReference w:id="13"/>
      </w:r>
      <w:r w:rsidRPr="00440B9F">
        <w:rPr>
          <w:rFonts w:ascii="Palatino Linotype" w:hAnsi="Palatino Linotype"/>
          <w:sz w:val="22"/>
          <w:szCs w:val="22"/>
        </w:rPr>
        <w:t xml:space="preserve"> Although important in highlighting the process of normalising racial inequalities, such histories focus upon only one aspect of the missionary experience. Instead of only positing the question ‘was missionary enterprise a tool of imperialism?’, I believe that it is more pertinent to examine the context in which missionary encounters emerged and the contradictory relationships that they encompassed.</w:t>
      </w:r>
      <w:r w:rsidRPr="00440B9F">
        <w:rPr>
          <w:rStyle w:val="FootnoteReference"/>
          <w:rFonts w:ascii="Palatino Linotype" w:hAnsi="Palatino Linotype"/>
          <w:sz w:val="22"/>
          <w:szCs w:val="22"/>
        </w:rPr>
        <w:footnoteReference w:id="14"/>
      </w:r>
      <w:r w:rsidRPr="00440B9F">
        <w:rPr>
          <w:rFonts w:ascii="Palatino Linotype" w:hAnsi="Palatino Linotype"/>
          <w:sz w:val="22"/>
          <w:szCs w:val="22"/>
        </w:rPr>
        <w:t xml:space="preserve"> Broadening this scope allows us to recognise that those who engaged in mission included individuals who were agents of imperialism, those who assisted in the subversion of imperialism, worked in areas not directly colonised by their home nation, and/or came from formerly or ambiguously colonised areas, such as the United States, Ireland and Scotland.</w:t>
      </w:r>
      <w:r w:rsidRPr="00440B9F">
        <w:rPr>
          <w:rStyle w:val="FootnoteReference"/>
          <w:rFonts w:ascii="Palatino Linotype" w:hAnsi="Palatino Linotype"/>
          <w:sz w:val="22"/>
          <w:szCs w:val="22"/>
        </w:rPr>
        <w:footnoteReference w:id="15"/>
      </w:r>
      <w:r w:rsidRPr="00440B9F">
        <w:rPr>
          <w:rFonts w:ascii="Palatino Linotype" w:hAnsi="Palatino Linotype"/>
          <w:sz w:val="22"/>
          <w:szCs w:val="22"/>
        </w:rPr>
        <w:t xml:space="preserve"> While all missionaries in the nineteenth century believed that their faith and culture were superior to that at the ‘targeted’ society, labelling a missionary as a coloniser or imperialist cannot be uncritically applied in light of these complexities.</w:t>
      </w:r>
      <w:r w:rsidRPr="00440B9F">
        <w:rPr>
          <w:rStyle w:val="FootnoteReference"/>
          <w:rFonts w:ascii="Palatino Linotype" w:hAnsi="Palatino Linotype"/>
          <w:sz w:val="22"/>
          <w:szCs w:val="22"/>
        </w:rPr>
        <w:footnoteReference w:id="16"/>
      </w:r>
    </w:p>
    <w:p w:rsidR="00A15CD3" w:rsidRPr="00440B9F" w:rsidRDefault="00A15CD3" w:rsidP="001761FF">
      <w:pPr>
        <w:spacing w:after="0" w:line="360" w:lineRule="auto"/>
        <w:jc w:val="both"/>
        <w:rPr>
          <w:rFonts w:ascii="Palatino Linotype" w:hAnsi="Palatino Linotype"/>
          <w:sz w:val="22"/>
          <w:szCs w:val="22"/>
        </w:rPr>
      </w:pPr>
      <w:r w:rsidRPr="00440B9F">
        <w:rPr>
          <w:rFonts w:ascii="Palatino Linotype" w:hAnsi="Palatino Linotype"/>
          <w:sz w:val="22"/>
          <w:szCs w:val="22"/>
        </w:rPr>
        <w:tab/>
        <w:t>Recent scholarship has also broadened our understanding of those who were ‘targeted’ by missions. Researchers have explored the ways that missionaries fit into (or more often did not fit into) the social and political structures of the groups that they sought to convert.</w:t>
      </w:r>
      <w:r w:rsidRPr="00440B9F">
        <w:rPr>
          <w:rStyle w:val="FootnoteReference"/>
          <w:rFonts w:ascii="Palatino Linotype" w:hAnsi="Palatino Linotype"/>
          <w:sz w:val="22"/>
          <w:szCs w:val="22"/>
        </w:rPr>
        <w:footnoteReference w:id="17"/>
      </w:r>
      <w:r w:rsidRPr="00440B9F">
        <w:rPr>
          <w:rFonts w:ascii="Palatino Linotype" w:hAnsi="Palatino Linotype"/>
          <w:sz w:val="22"/>
          <w:szCs w:val="22"/>
        </w:rPr>
        <w:t xml:space="preserve"> Others have demonstrated that individuals at the ‘peripheries’ often articulated different perceptions of the encounter than that held by the missionaries; one that has often been silenced in the historical record however.</w:t>
      </w:r>
      <w:r w:rsidRPr="00440B9F">
        <w:rPr>
          <w:rStyle w:val="FootnoteReference"/>
          <w:rFonts w:ascii="Palatino Linotype" w:hAnsi="Palatino Linotype"/>
          <w:sz w:val="22"/>
          <w:szCs w:val="22"/>
        </w:rPr>
        <w:footnoteReference w:id="18"/>
      </w:r>
      <w:r w:rsidRPr="00440B9F">
        <w:rPr>
          <w:rFonts w:ascii="Palatino Linotype" w:hAnsi="Palatino Linotype"/>
          <w:sz w:val="22"/>
          <w:szCs w:val="22"/>
        </w:rPr>
        <w:t xml:space="preserve"> Another branch of scholarship examines the hybrid culture that emerged at these sites of contact, which differed from both the missionaries’ ‘home’ culture and that originally found in the local community.</w:t>
      </w:r>
      <w:r w:rsidRPr="00440B9F">
        <w:rPr>
          <w:rStyle w:val="FootnoteReference"/>
          <w:rFonts w:ascii="Palatino Linotype" w:hAnsi="Palatino Linotype"/>
          <w:sz w:val="22"/>
          <w:szCs w:val="22"/>
        </w:rPr>
        <w:footnoteReference w:id="19"/>
      </w:r>
      <w:r w:rsidRPr="00440B9F">
        <w:rPr>
          <w:rFonts w:ascii="Palatino Linotype" w:hAnsi="Palatino Linotype"/>
          <w:sz w:val="22"/>
          <w:szCs w:val="22"/>
        </w:rPr>
        <w:t xml:space="preserve"> Such scholarship not only widens the subject of historical narratives to include ‘local’ voices, but reveals the true heterogeneity of societies at the ‘periphery’ and the dialectic nature of these encounters.</w:t>
      </w:r>
    </w:p>
    <w:p w:rsidR="00A15CD3" w:rsidRPr="00440B9F" w:rsidRDefault="00A15CD3" w:rsidP="001761FF">
      <w:pPr>
        <w:spacing w:after="0" w:line="360" w:lineRule="auto"/>
        <w:jc w:val="both"/>
        <w:rPr>
          <w:rFonts w:ascii="Palatino Linotype" w:hAnsi="Palatino Linotype"/>
          <w:sz w:val="22"/>
          <w:szCs w:val="22"/>
        </w:rPr>
      </w:pPr>
      <w:r w:rsidRPr="00440B9F">
        <w:rPr>
          <w:rFonts w:ascii="Palatino Linotype" w:hAnsi="Palatino Linotype"/>
          <w:sz w:val="22"/>
          <w:szCs w:val="22"/>
        </w:rPr>
        <w:tab/>
        <w:t>The narrower focus on European and American missions to the Middle East has become a genre within itself during recent years. Discussions at workshops, panels at conferences and articles in journals and books have examined different aspects of these encounters.</w:t>
      </w:r>
      <w:r w:rsidRPr="00440B9F">
        <w:rPr>
          <w:rStyle w:val="FootnoteReference"/>
          <w:rFonts w:ascii="Palatino Linotype" w:hAnsi="Palatino Linotype"/>
          <w:sz w:val="22"/>
          <w:szCs w:val="22"/>
        </w:rPr>
        <w:footnoteReference w:id="20"/>
      </w:r>
      <w:r w:rsidRPr="00440B9F">
        <w:rPr>
          <w:rFonts w:ascii="Palatino Linotype" w:hAnsi="Palatino Linotype"/>
          <w:sz w:val="22"/>
          <w:szCs w:val="22"/>
        </w:rPr>
        <w:t xml:space="preserve"> A number of scholars have investigated specific organisations and their work at particular locations, often through emphasising the ecclesiastical and/or national associations of the missionaries.</w:t>
      </w:r>
      <w:r w:rsidRPr="00440B9F">
        <w:rPr>
          <w:rStyle w:val="FootnoteReference"/>
          <w:rFonts w:ascii="Palatino Linotype" w:hAnsi="Palatino Linotype"/>
          <w:sz w:val="22"/>
          <w:szCs w:val="22"/>
        </w:rPr>
        <w:footnoteReference w:id="21"/>
      </w:r>
      <w:r w:rsidRPr="00440B9F">
        <w:rPr>
          <w:rFonts w:ascii="Palatino Linotype" w:hAnsi="Palatino Linotype"/>
          <w:sz w:val="22"/>
          <w:szCs w:val="22"/>
        </w:rPr>
        <w:t xml:space="preserve"> Others have analysed the way that people living in the Middle East perceived, negotiated, accepted and/or subverted the missionaries’ message.</w:t>
      </w:r>
      <w:r w:rsidRPr="00440B9F">
        <w:rPr>
          <w:rFonts w:ascii="Palatino Linotype" w:hAnsi="Palatino Linotype"/>
          <w:sz w:val="22"/>
          <w:szCs w:val="22"/>
          <w:vertAlign w:val="superscript"/>
        </w:rPr>
        <w:footnoteReference w:id="22"/>
      </w:r>
      <w:r w:rsidRPr="00440B9F">
        <w:rPr>
          <w:rFonts w:ascii="Palatino Linotype" w:hAnsi="Palatino Linotype"/>
          <w:sz w:val="22"/>
          <w:szCs w:val="22"/>
        </w:rPr>
        <w:t xml:space="preserve"> When taken together, these different histories illuminate the diversity of mission work and the different reactions it evoked from individuals living in the Middle East.</w:t>
      </w:r>
    </w:p>
    <w:p w:rsidR="00A15CD3" w:rsidRPr="00440B9F" w:rsidRDefault="00A15CD3" w:rsidP="001761FF">
      <w:pPr>
        <w:spacing w:after="0" w:line="360" w:lineRule="auto"/>
        <w:jc w:val="both"/>
        <w:rPr>
          <w:rFonts w:ascii="Palatino Linotype" w:hAnsi="Palatino Linotype"/>
          <w:sz w:val="22"/>
          <w:szCs w:val="22"/>
        </w:rPr>
      </w:pPr>
      <w:r w:rsidRPr="00440B9F">
        <w:rPr>
          <w:rFonts w:ascii="Palatino Linotype" w:hAnsi="Palatino Linotype"/>
          <w:sz w:val="22"/>
          <w:szCs w:val="22"/>
        </w:rPr>
        <w:tab/>
        <w:t>Applying a gendered lens has proven particularly fruitful in uncovering additional details of these missionary encounters. A number of researchers have explored the ways that femininity was constructed and reconstructed during mission encounters to the Middle East.</w:t>
      </w:r>
      <w:r w:rsidRPr="00440B9F">
        <w:rPr>
          <w:rStyle w:val="FootnoteReference"/>
          <w:rFonts w:ascii="Palatino Linotype" w:hAnsi="Palatino Linotype"/>
          <w:sz w:val="22"/>
          <w:szCs w:val="22"/>
        </w:rPr>
        <w:footnoteReference w:id="23"/>
      </w:r>
      <w:r w:rsidRPr="00440B9F">
        <w:rPr>
          <w:rFonts w:ascii="Palatino Linotype" w:hAnsi="Palatino Linotype"/>
          <w:sz w:val="22"/>
          <w:szCs w:val="22"/>
        </w:rPr>
        <w:t xml:space="preserve"> Such research shows that mission work granted European and American women a space to navigate the gender roles that defined their home culture, but in a foreign setting, while also allowing women from the Middle East room to examine and modify their own definitions of womanhood. The investigations of how women in Syria and Egypt appropriated aspects of European Roman Catholicism to construct alternative theologies within the Maronite and Greek Catholic communities has proved particularly insightful in this regard.</w:t>
      </w:r>
      <w:r w:rsidRPr="00440B9F">
        <w:rPr>
          <w:rStyle w:val="FootnoteReference"/>
          <w:rFonts w:ascii="Palatino Linotype" w:hAnsi="Palatino Linotype"/>
          <w:sz w:val="22"/>
          <w:szCs w:val="22"/>
        </w:rPr>
        <w:footnoteReference w:id="24"/>
      </w:r>
      <w:r w:rsidRPr="00440B9F">
        <w:rPr>
          <w:rFonts w:ascii="Palatino Linotype" w:hAnsi="Palatino Linotype"/>
          <w:sz w:val="22"/>
          <w:szCs w:val="22"/>
        </w:rPr>
        <w:t xml:space="preserve"> Other scholars have studied the new definitions of womanhood that were created and performed at schools funded by missionary organisations, such as the American School for Girls in Beirut and the Cooper Institute in Jerusalem.</w:t>
      </w:r>
      <w:r w:rsidRPr="00440B9F">
        <w:rPr>
          <w:rStyle w:val="FootnoteReference"/>
          <w:rFonts w:ascii="Palatino Linotype" w:hAnsi="Palatino Linotype"/>
          <w:sz w:val="22"/>
          <w:szCs w:val="22"/>
        </w:rPr>
        <w:footnoteReference w:id="25"/>
      </w:r>
      <w:r w:rsidRPr="00440B9F">
        <w:rPr>
          <w:rFonts w:ascii="Palatino Linotype" w:hAnsi="Palatino Linotype"/>
          <w:sz w:val="22"/>
          <w:szCs w:val="22"/>
        </w:rPr>
        <w:t xml:space="preserve"> Through focusing specifically upon women, such work uncovers the intricate and at times deeply emotional bonds that linked missionary women and their female students,</w:t>
      </w:r>
      <w:r w:rsidRPr="00440B9F">
        <w:rPr>
          <w:rFonts w:ascii="Palatino Linotype" w:hAnsi="Palatino Linotype"/>
          <w:sz w:val="22"/>
          <w:szCs w:val="22"/>
          <w:vertAlign w:val="superscript"/>
        </w:rPr>
        <w:footnoteReference w:id="26"/>
      </w:r>
      <w:r w:rsidRPr="00440B9F">
        <w:rPr>
          <w:rFonts w:ascii="Palatino Linotype" w:hAnsi="Palatino Linotype"/>
          <w:sz w:val="22"/>
          <w:szCs w:val="22"/>
        </w:rPr>
        <w:t xml:space="preserve"> which were often overlooked in previous studies of these exchanges.</w:t>
      </w:r>
    </w:p>
    <w:p w:rsidR="00A15CD3" w:rsidRPr="00440B9F" w:rsidRDefault="00A15CD3" w:rsidP="001761FF">
      <w:pPr>
        <w:spacing w:after="0" w:line="360" w:lineRule="auto"/>
        <w:jc w:val="both"/>
        <w:rPr>
          <w:rFonts w:ascii="Palatino Linotype" w:hAnsi="Palatino Linotype"/>
          <w:sz w:val="22"/>
          <w:szCs w:val="22"/>
        </w:rPr>
      </w:pPr>
      <w:r w:rsidRPr="00440B9F">
        <w:rPr>
          <w:rFonts w:ascii="Palatino Linotype" w:hAnsi="Palatino Linotype"/>
          <w:sz w:val="22"/>
          <w:szCs w:val="22"/>
        </w:rPr>
        <w:tab/>
        <w:t xml:space="preserve">This thesis presents another facet of this genre, for it examines the activities of the ABCFM missionaries and the development of the Protestant community in Ottoman Syria. This community is better known than other missionary encounters in the region due to its connection with famous individuals such as Butrus al-Bustani and Nasif al-Yaziji, its role in the </w:t>
      </w:r>
      <w:r w:rsidRPr="00440B9F">
        <w:rPr>
          <w:rFonts w:ascii="Palatino Linotype" w:hAnsi="Palatino Linotype"/>
          <w:i/>
          <w:sz w:val="22"/>
          <w:szCs w:val="22"/>
        </w:rPr>
        <w:t>Nahda</w:t>
      </w:r>
      <w:r w:rsidRPr="00440B9F">
        <w:rPr>
          <w:rFonts w:ascii="Palatino Linotype" w:hAnsi="Palatino Linotype"/>
          <w:sz w:val="22"/>
          <w:szCs w:val="22"/>
        </w:rPr>
        <w:t xml:space="preserve"> of the nineteenth century and its influence on the Syrian Protestant College (later the American University of Beirut).</w:t>
      </w:r>
      <w:r w:rsidRPr="00440B9F">
        <w:rPr>
          <w:rStyle w:val="FootnoteReference"/>
          <w:rFonts w:ascii="Palatino Linotype" w:hAnsi="Palatino Linotype"/>
          <w:sz w:val="22"/>
          <w:szCs w:val="22"/>
        </w:rPr>
        <w:footnoteReference w:id="27"/>
      </w:r>
      <w:r w:rsidRPr="00440B9F">
        <w:rPr>
          <w:rFonts w:ascii="Palatino Linotype" w:hAnsi="Palatino Linotype"/>
          <w:sz w:val="22"/>
          <w:szCs w:val="22"/>
        </w:rPr>
        <w:t xml:space="preserve"> The importance of these links has been thoroughly examined by different scholars, whose work is vital in understanding the history of these noteworthy people and institutions.</w:t>
      </w:r>
      <w:r w:rsidRPr="00440B9F">
        <w:rPr>
          <w:rStyle w:val="FootnoteReference"/>
          <w:rFonts w:ascii="Palatino Linotype" w:hAnsi="Palatino Linotype"/>
          <w:sz w:val="22"/>
          <w:szCs w:val="22"/>
        </w:rPr>
        <w:footnoteReference w:id="28"/>
      </w:r>
      <w:r w:rsidRPr="00440B9F">
        <w:rPr>
          <w:rFonts w:ascii="Palatino Linotype" w:hAnsi="Palatino Linotype"/>
          <w:sz w:val="22"/>
          <w:szCs w:val="22"/>
        </w:rPr>
        <w:t xml:space="preserve"> Despite this strong base however, gaps and misunderstandings of the Protestant community remain. This is particularly true in regards to the hybrid culture that defined the group, the influence of gender on the Protestant identity, and the roles and activities of women in the Protestant community. It is thus the aim of this thesis to address and shed light onto these gaps through re-examining the creation and early development of this community.</w:t>
      </w:r>
      <w:r w:rsidRPr="00440B9F">
        <w:rPr>
          <w:rStyle w:val="FootnoteReference"/>
          <w:rFonts w:ascii="Palatino Linotype" w:hAnsi="Palatino Linotype"/>
          <w:sz w:val="22"/>
          <w:szCs w:val="22"/>
        </w:rPr>
        <w:footnoteReference w:id="29"/>
      </w:r>
      <w:r w:rsidRPr="00440B9F">
        <w:rPr>
          <w:rFonts w:ascii="Palatino Linotype" w:hAnsi="Palatino Linotype"/>
          <w:sz w:val="22"/>
          <w:szCs w:val="22"/>
        </w:rPr>
        <w:t xml:space="preserve"> </w:t>
      </w:r>
    </w:p>
    <w:p w:rsidR="00A15CD3" w:rsidRPr="00440B9F" w:rsidRDefault="00A15CD3" w:rsidP="001761FF">
      <w:pPr>
        <w:spacing w:after="0" w:line="360" w:lineRule="auto"/>
        <w:jc w:val="both"/>
        <w:rPr>
          <w:rFonts w:ascii="Palatino Linotype" w:hAnsi="Palatino Linotype"/>
          <w:sz w:val="22"/>
          <w:szCs w:val="22"/>
        </w:rPr>
      </w:pPr>
    </w:p>
    <w:p w:rsidR="00A15CD3" w:rsidRPr="00440B9F" w:rsidRDefault="00A15CD3" w:rsidP="001761FF">
      <w:pPr>
        <w:spacing w:after="0" w:line="360" w:lineRule="auto"/>
        <w:jc w:val="both"/>
        <w:rPr>
          <w:rFonts w:ascii="Palatino Linotype" w:hAnsi="Palatino Linotype"/>
          <w:sz w:val="22"/>
          <w:szCs w:val="22"/>
        </w:rPr>
      </w:pPr>
    </w:p>
    <w:p w:rsidR="00A15CD3" w:rsidRPr="00440B9F" w:rsidRDefault="00A15CD3" w:rsidP="001761FF">
      <w:pPr>
        <w:spacing w:after="0" w:line="360" w:lineRule="auto"/>
        <w:jc w:val="center"/>
        <w:rPr>
          <w:rFonts w:ascii="Arial" w:hAnsi="Arial" w:cs="Arial"/>
          <w:smallCaps/>
          <w:sz w:val="22"/>
          <w:szCs w:val="22"/>
        </w:rPr>
      </w:pPr>
      <w:r w:rsidRPr="00440B9F">
        <w:rPr>
          <w:rFonts w:ascii="Arial" w:hAnsi="Arial" w:cs="Arial"/>
          <w:smallCaps/>
          <w:sz w:val="22"/>
          <w:szCs w:val="22"/>
        </w:rPr>
        <w:t>Theoretical Approach</w:t>
      </w:r>
    </w:p>
    <w:p w:rsidR="00A15CD3" w:rsidRPr="00440B9F" w:rsidRDefault="00A15CD3" w:rsidP="001761FF">
      <w:pPr>
        <w:spacing w:after="0" w:line="360" w:lineRule="auto"/>
        <w:jc w:val="both"/>
        <w:rPr>
          <w:rFonts w:ascii="Arial" w:hAnsi="Arial" w:cs="Arial"/>
          <w:i/>
          <w:smallCaps/>
          <w:sz w:val="22"/>
          <w:szCs w:val="22"/>
        </w:rPr>
      </w:pPr>
    </w:p>
    <w:p w:rsidR="00A15CD3" w:rsidRPr="00440B9F" w:rsidRDefault="00A15CD3" w:rsidP="001761FF">
      <w:pPr>
        <w:spacing w:after="0" w:line="360" w:lineRule="auto"/>
        <w:jc w:val="both"/>
        <w:rPr>
          <w:rFonts w:ascii="Palatino Linotype" w:hAnsi="Palatino Linotype"/>
          <w:sz w:val="22"/>
          <w:szCs w:val="22"/>
        </w:rPr>
      </w:pPr>
      <w:r w:rsidRPr="00440B9F">
        <w:rPr>
          <w:rFonts w:ascii="Palatino Linotype" w:hAnsi="Palatino Linotype"/>
          <w:sz w:val="22"/>
          <w:szCs w:val="22"/>
        </w:rPr>
        <w:t>Adopting different theoretical approaches to research is one way to uncover gaps within historical narratives and records. Practice Theory has proven insightful in other historical and anthropological studies, but has thus far played a limited role in the research of nineteenth century Ottoman Syria and the ABCFM’s work in the region.</w:t>
      </w:r>
      <w:r w:rsidRPr="00440B9F">
        <w:rPr>
          <w:rStyle w:val="FootnoteReference"/>
          <w:rFonts w:ascii="Palatino Linotype" w:hAnsi="Palatino Linotype"/>
          <w:sz w:val="22"/>
          <w:szCs w:val="22"/>
        </w:rPr>
        <w:footnoteReference w:id="30"/>
      </w:r>
      <w:r w:rsidRPr="00440B9F">
        <w:rPr>
          <w:rFonts w:ascii="Palatino Linotype" w:hAnsi="Palatino Linotype"/>
          <w:sz w:val="22"/>
          <w:szCs w:val="22"/>
        </w:rPr>
        <w:t xml:space="preserve"> The Theory of Practice is often associated with Pierre Bourdieu, but was also articulated by Marshall Sahlins, Michel de Certeau and Sherry Ortner,</w:t>
      </w:r>
      <w:r w:rsidRPr="00440B9F">
        <w:rPr>
          <w:rStyle w:val="FootnoteReference"/>
          <w:rFonts w:ascii="Palatino Linotype" w:hAnsi="Palatino Linotype"/>
          <w:sz w:val="22"/>
          <w:szCs w:val="22"/>
        </w:rPr>
        <w:footnoteReference w:id="31"/>
      </w:r>
      <w:r w:rsidRPr="00440B9F">
        <w:rPr>
          <w:rFonts w:ascii="Palatino Linotype" w:hAnsi="Palatino Linotype"/>
          <w:sz w:val="22"/>
          <w:szCs w:val="22"/>
        </w:rPr>
        <w:t xml:space="preserve"> and has more recently been refined by post-colonial and feminist scholars.</w:t>
      </w:r>
      <w:r w:rsidRPr="00440B9F">
        <w:rPr>
          <w:rStyle w:val="FootnoteReference"/>
          <w:rFonts w:ascii="Palatino Linotype" w:hAnsi="Palatino Linotype"/>
          <w:sz w:val="22"/>
          <w:szCs w:val="22"/>
        </w:rPr>
        <w:footnoteReference w:id="32"/>
      </w:r>
      <w:r w:rsidRPr="00440B9F">
        <w:rPr>
          <w:rFonts w:ascii="Palatino Linotype" w:hAnsi="Palatino Linotype"/>
          <w:sz w:val="22"/>
          <w:szCs w:val="22"/>
        </w:rPr>
        <w:t xml:space="preserve"> In particular, Jean and John Comaroff have demonstrated the ways that Practice Theory can be applied to uncover the intricacies and dialectics of missionary encounters through their analysis of British missionaries and the Tswana in South Africa.</w:t>
      </w:r>
      <w:r w:rsidRPr="00440B9F">
        <w:rPr>
          <w:rStyle w:val="FootnoteReference"/>
          <w:rFonts w:ascii="Palatino Linotype" w:hAnsi="Palatino Linotype"/>
          <w:sz w:val="22"/>
          <w:szCs w:val="22"/>
        </w:rPr>
        <w:footnoteReference w:id="33"/>
      </w:r>
      <w:r w:rsidRPr="00440B9F">
        <w:rPr>
          <w:rFonts w:ascii="Palatino Linotype" w:hAnsi="Palatino Linotype"/>
          <w:sz w:val="22"/>
          <w:szCs w:val="22"/>
        </w:rPr>
        <w:t xml:space="preserve"> </w:t>
      </w:r>
    </w:p>
    <w:p w:rsidR="00A15CD3" w:rsidRPr="00440B9F" w:rsidRDefault="00A15CD3" w:rsidP="001761FF">
      <w:pPr>
        <w:spacing w:after="0" w:line="360" w:lineRule="auto"/>
        <w:jc w:val="both"/>
        <w:rPr>
          <w:rFonts w:ascii="Palatino Linotype" w:hAnsi="Palatino Linotype"/>
          <w:sz w:val="22"/>
          <w:szCs w:val="22"/>
        </w:rPr>
      </w:pPr>
      <w:r w:rsidRPr="00440B9F">
        <w:rPr>
          <w:rFonts w:ascii="Palatino Linotype" w:hAnsi="Palatino Linotype"/>
          <w:sz w:val="22"/>
          <w:szCs w:val="22"/>
        </w:rPr>
        <w:tab/>
        <w:t>The aim of Practice Theory is to expose the dynamics of power that are manifested within the daily activities and social relations of individuals in a specific community. This approach does not force the details of social interactions into preconfigured categories formed around European or American prototypes,</w:t>
      </w:r>
      <w:r w:rsidRPr="00440B9F">
        <w:rPr>
          <w:rStyle w:val="FootnoteReference"/>
          <w:rFonts w:ascii="Palatino Linotype" w:hAnsi="Palatino Linotype"/>
          <w:sz w:val="22"/>
          <w:szCs w:val="22"/>
        </w:rPr>
        <w:footnoteReference w:id="34"/>
      </w:r>
      <w:r w:rsidRPr="00440B9F">
        <w:rPr>
          <w:rFonts w:ascii="Palatino Linotype" w:hAnsi="Palatino Linotype"/>
          <w:sz w:val="22"/>
          <w:szCs w:val="22"/>
        </w:rPr>
        <w:t xml:space="preserve"> but is guided by the ideologies and activities of the group being reviewed; for this study the Protestant community in Ottoman Syria.</w:t>
      </w:r>
      <w:r w:rsidRPr="00440B9F">
        <w:rPr>
          <w:rFonts w:ascii="Palatino Linotype" w:hAnsi="Palatino Linotype"/>
          <w:sz w:val="22"/>
          <w:szCs w:val="22"/>
          <w:vertAlign w:val="superscript"/>
        </w:rPr>
        <w:footnoteReference w:id="35"/>
      </w:r>
      <w:r w:rsidRPr="00440B9F">
        <w:rPr>
          <w:rFonts w:ascii="Palatino Linotype" w:hAnsi="Palatino Linotype"/>
          <w:sz w:val="22"/>
          <w:szCs w:val="22"/>
        </w:rPr>
        <w:t xml:space="preserve"> As a result, the categories that the Protestants used to judge each other will be first delineated in order to outline the social stratification that affected relations within this group. Moreover, this thesis is not a strict Bourdieusian analysis of Protestantism, for only certain aspects of Practice Theory will be applied, which will be introduced and defined in the following paragraphs.</w:t>
      </w:r>
    </w:p>
    <w:p w:rsidR="00A15CD3" w:rsidRPr="00440B9F" w:rsidRDefault="00A15CD3" w:rsidP="001761FF">
      <w:pPr>
        <w:spacing w:after="0" w:line="360" w:lineRule="auto"/>
        <w:jc w:val="both"/>
        <w:rPr>
          <w:rFonts w:ascii="Palatino Linotype" w:hAnsi="Palatino Linotype"/>
          <w:sz w:val="22"/>
          <w:szCs w:val="22"/>
        </w:rPr>
      </w:pPr>
      <w:r w:rsidRPr="00440B9F">
        <w:rPr>
          <w:rFonts w:ascii="Palatino Linotype" w:hAnsi="Palatino Linotype"/>
          <w:sz w:val="22"/>
          <w:szCs w:val="22"/>
        </w:rPr>
        <w:tab/>
        <w:t>The concept of ‘field’ is central to Practice Theory and is an important influence on my investigation. The term ‘field’ was used by Bourdieu to describe the ideological structures that linked people together.</w:t>
      </w:r>
      <w:r w:rsidRPr="00440B9F">
        <w:rPr>
          <w:rFonts w:ascii="Palatino Linotype" w:hAnsi="Palatino Linotype"/>
          <w:sz w:val="22"/>
          <w:szCs w:val="22"/>
          <w:vertAlign w:val="superscript"/>
        </w:rPr>
        <w:footnoteReference w:id="36"/>
      </w:r>
      <w:r w:rsidRPr="00440B9F">
        <w:rPr>
          <w:rFonts w:ascii="Palatino Linotype" w:hAnsi="Palatino Linotype"/>
          <w:sz w:val="22"/>
          <w:szCs w:val="22"/>
        </w:rPr>
        <w:t xml:space="preserve"> It pertains to the shared ideology and ‘fundamental point of view on the world’ that is upheld by all within a community.</w:t>
      </w:r>
      <w:r w:rsidRPr="00440B9F">
        <w:rPr>
          <w:rFonts w:ascii="Palatino Linotype" w:hAnsi="Palatino Linotype"/>
          <w:sz w:val="22"/>
          <w:szCs w:val="22"/>
          <w:vertAlign w:val="superscript"/>
        </w:rPr>
        <w:footnoteReference w:id="37"/>
      </w:r>
      <w:r w:rsidRPr="00440B9F">
        <w:rPr>
          <w:rFonts w:ascii="Palatino Linotype" w:hAnsi="Palatino Linotype"/>
          <w:sz w:val="22"/>
          <w:szCs w:val="22"/>
        </w:rPr>
        <w:t xml:space="preserve"> Each field is unique, in both the ideas endorsed by its members and the means through which these concepts are regulated and distributed.</w:t>
      </w:r>
      <w:r w:rsidRPr="00440B9F">
        <w:rPr>
          <w:rFonts w:ascii="Palatino Linotype" w:hAnsi="Palatino Linotype"/>
          <w:sz w:val="22"/>
          <w:szCs w:val="22"/>
          <w:vertAlign w:val="superscript"/>
        </w:rPr>
        <w:footnoteReference w:id="38"/>
      </w:r>
      <w:r w:rsidRPr="00440B9F">
        <w:rPr>
          <w:rFonts w:ascii="Palatino Linotype" w:hAnsi="Palatino Linotype"/>
          <w:sz w:val="22"/>
          <w:szCs w:val="22"/>
        </w:rPr>
        <w:t xml:space="preserve"> This thesis maintains that both the United States and Ottoman Syria were two fields during the early nineteenth century, so that the Protestant community emerged at the meeting point or frontier site of these two fields, and functioned as its own, hybrid field.</w:t>
      </w:r>
      <w:r w:rsidRPr="00440B9F">
        <w:rPr>
          <w:rFonts w:ascii="Palatino Linotype" w:hAnsi="Palatino Linotype"/>
          <w:sz w:val="22"/>
          <w:szCs w:val="22"/>
          <w:vertAlign w:val="superscript"/>
        </w:rPr>
        <w:footnoteReference w:id="39"/>
      </w:r>
      <w:r w:rsidRPr="00440B9F">
        <w:rPr>
          <w:rFonts w:ascii="Palatino Linotype" w:hAnsi="Palatino Linotype"/>
          <w:sz w:val="22"/>
          <w:szCs w:val="22"/>
        </w:rPr>
        <w:t xml:space="preserve">  </w:t>
      </w:r>
    </w:p>
    <w:p w:rsidR="00A15CD3" w:rsidRPr="00440B9F" w:rsidRDefault="00A15CD3" w:rsidP="001761FF">
      <w:pPr>
        <w:spacing w:after="0" w:line="360" w:lineRule="auto"/>
        <w:jc w:val="both"/>
        <w:rPr>
          <w:rFonts w:ascii="Palatino Linotype" w:hAnsi="Palatino Linotype"/>
          <w:sz w:val="22"/>
          <w:szCs w:val="22"/>
        </w:rPr>
      </w:pPr>
      <w:r w:rsidRPr="00440B9F">
        <w:rPr>
          <w:rFonts w:ascii="Palatino Linotype" w:hAnsi="Palatino Linotype"/>
          <w:sz w:val="22"/>
          <w:szCs w:val="22"/>
        </w:rPr>
        <w:tab/>
        <w:t>An analysis of fields considers the social, economic, and political structures found within a specific location.</w:t>
      </w:r>
      <w:r w:rsidRPr="00440B9F">
        <w:rPr>
          <w:rFonts w:ascii="Palatino Linotype" w:hAnsi="Palatino Linotype"/>
          <w:sz w:val="22"/>
          <w:szCs w:val="22"/>
          <w:vertAlign w:val="superscript"/>
        </w:rPr>
        <w:footnoteReference w:id="40"/>
      </w:r>
      <w:r w:rsidRPr="00440B9F">
        <w:rPr>
          <w:rFonts w:ascii="Palatino Linotype" w:hAnsi="Palatino Linotype"/>
          <w:sz w:val="22"/>
          <w:szCs w:val="22"/>
          <w:vertAlign w:val="superscript"/>
        </w:rPr>
        <w:t xml:space="preserve">  </w:t>
      </w:r>
      <w:r w:rsidRPr="00440B9F">
        <w:rPr>
          <w:rFonts w:ascii="Palatino Linotype" w:hAnsi="Palatino Linotype"/>
          <w:sz w:val="22"/>
          <w:szCs w:val="22"/>
        </w:rPr>
        <w:t>Fields however, are essentially ideological and are not confined by geographical limits.</w:t>
      </w:r>
      <w:r w:rsidRPr="00440B9F">
        <w:rPr>
          <w:rStyle w:val="FootnoteReference"/>
          <w:rFonts w:ascii="Palatino Linotype" w:hAnsi="Palatino Linotype"/>
          <w:sz w:val="22"/>
          <w:szCs w:val="22"/>
        </w:rPr>
        <w:footnoteReference w:id="41"/>
      </w:r>
      <w:r w:rsidRPr="00440B9F">
        <w:rPr>
          <w:rFonts w:ascii="Palatino Linotype" w:hAnsi="Palatino Linotype"/>
          <w:sz w:val="22"/>
          <w:szCs w:val="22"/>
        </w:rPr>
        <w:t xml:space="preserve"> They resemble the non-visible pull of magnetic fields,</w:t>
      </w:r>
      <w:r w:rsidRPr="00440B9F">
        <w:rPr>
          <w:rFonts w:ascii="Palatino Linotype" w:hAnsi="Palatino Linotype"/>
          <w:sz w:val="22"/>
          <w:szCs w:val="22"/>
          <w:vertAlign w:val="superscript"/>
        </w:rPr>
        <w:footnoteReference w:id="42"/>
      </w:r>
      <w:r w:rsidRPr="00440B9F">
        <w:rPr>
          <w:rFonts w:ascii="Palatino Linotype" w:hAnsi="Palatino Linotype"/>
          <w:sz w:val="22"/>
          <w:szCs w:val="22"/>
        </w:rPr>
        <w:t xml:space="preserve"> for the unity and homogeny within a community is determined by the strength of its members to minimise or integrate external influences.</w:t>
      </w:r>
      <w:r w:rsidRPr="00440B9F">
        <w:rPr>
          <w:rFonts w:ascii="Palatino Linotype" w:hAnsi="Palatino Linotype"/>
          <w:sz w:val="22"/>
          <w:szCs w:val="22"/>
          <w:vertAlign w:val="superscript"/>
        </w:rPr>
        <w:footnoteReference w:id="43"/>
      </w:r>
      <w:r w:rsidRPr="00440B9F">
        <w:rPr>
          <w:rFonts w:ascii="Palatino Linotype" w:hAnsi="Palatino Linotype"/>
          <w:sz w:val="22"/>
          <w:szCs w:val="22"/>
        </w:rPr>
        <w:t xml:space="preserve"> As post-colonial scholars have shown, events and ideas at one location, such as Beirut, were connected to those at other sites, like Istanbul, Cairo, Mosul, Hawaii and Boston.</w:t>
      </w:r>
      <w:r w:rsidRPr="00440B9F">
        <w:rPr>
          <w:rStyle w:val="FootnoteReference"/>
          <w:rFonts w:ascii="Palatino Linotype" w:hAnsi="Palatino Linotype"/>
          <w:sz w:val="22"/>
          <w:szCs w:val="22"/>
        </w:rPr>
        <w:footnoteReference w:id="44"/>
      </w:r>
      <w:r w:rsidRPr="00440B9F">
        <w:rPr>
          <w:rFonts w:ascii="Palatino Linotype" w:hAnsi="Palatino Linotype"/>
          <w:sz w:val="22"/>
          <w:szCs w:val="22"/>
        </w:rPr>
        <w:t xml:space="preserve"> As a result, this thesis will investigate the social limits of the Protestant community as well as show that individual Protestants remained connected to groups and drew upon ideas from outside the community, which in turn, affected the Protestants’ unique and hybrid identity.</w:t>
      </w:r>
      <w:r w:rsidRPr="00440B9F">
        <w:rPr>
          <w:rStyle w:val="FootnoteReference"/>
          <w:rFonts w:ascii="Palatino Linotype" w:hAnsi="Palatino Linotype"/>
          <w:sz w:val="22"/>
          <w:szCs w:val="22"/>
        </w:rPr>
        <w:footnoteReference w:id="45"/>
      </w:r>
      <w:r w:rsidRPr="00440B9F">
        <w:rPr>
          <w:rFonts w:ascii="Palatino Linotype" w:hAnsi="Palatino Linotype"/>
          <w:sz w:val="22"/>
          <w:szCs w:val="22"/>
        </w:rPr>
        <w:t xml:space="preserve"> </w:t>
      </w:r>
    </w:p>
    <w:p w:rsidR="00A15CD3" w:rsidRPr="00440B9F" w:rsidRDefault="00A15CD3" w:rsidP="001761FF">
      <w:pPr>
        <w:spacing w:after="0" w:line="360" w:lineRule="auto"/>
        <w:jc w:val="both"/>
        <w:rPr>
          <w:rFonts w:ascii="Palatino Linotype" w:hAnsi="Palatino Linotype"/>
          <w:sz w:val="22"/>
          <w:szCs w:val="22"/>
          <w:highlight w:val="yellow"/>
        </w:rPr>
      </w:pPr>
      <w:r w:rsidRPr="00440B9F">
        <w:rPr>
          <w:rFonts w:ascii="Palatino Linotype" w:hAnsi="Palatino Linotype"/>
          <w:sz w:val="22"/>
          <w:szCs w:val="22"/>
        </w:rPr>
        <w:tab/>
        <w:t>The Protestant community was not a space for social anarchy however, for the ‘agency’ held by individuals, to produce and engage with this new social system, was confined by the ideological structures found within American and Ottoman societies in addition to the symbolical inequalities that eventually defined the Protestant community. Although this structured agency affected all Protestants, one aim of this thesis is, as stated above, to uncover the activities of Protestant women and emphasise their role in creating this community. Applying aspects of Practice Theory allows me to recognise that Protestant women were influenced by the gendered and racial inequalities found within American and Ottoman societies, but were also active in creating and affirming these (unequal) symbolic structures within the Protestant community.</w:t>
      </w:r>
      <w:r w:rsidRPr="00440B9F">
        <w:rPr>
          <w:rFonts w:ascii="Palatino Linotype" w:hAnsi="Palatino Linotype"/>
          <w:sz w:val="22"/>
          <w:szCs w:val="22"/>
          <w:vertAlign w:val="superscript"/>
        </w:rPr>
        <w:footnoteReference w:id="46"/>
      </w:r>
      <w:r w:rsidRPr="00440B9F">
        <w:rPr>
          <w:rFonts w:ascii="Palatino Linotype" w:hAnsi="Palatino Linotype"/>
          <w:sz w:val="22"/>
          <w:szCs w:val="22"/>
        </w:rPr>
        <w:t xml:space="preserve"> I employ the term ‘negotiate’ to emphasise that women, and men, constructed and juggled these different pulls, in light of the inequalities that limited their choices for social networking and the mediums to express their ideas.</w:t>
      </w:r>
      <w:r w:rsidRPr="00440B9F">
        <w:rPr>
          <w:rFonts w:ascii="Palatino Linotype" w:hAnsi="Palatino Linotype"/>
          <w:sz w:val="22"/>
          <w:szCs w:val="22"/>
          <w:vertAlign w:val="superscript"/>
        </w:rPr>
        <w:footnoteReference w:id="47"/>
      </w:r>
      <w:r w:rsidRPr="00440B9F">
        <w:rPr>
          <w:rFonts w:ascii="Palatino Linotype" w:hAnsi="Palatino Linotype"/>
          <w:sz w:val="22"/>
          <w:szCs w:val="22"/>
        </w:rPr>
        <w:t xml:space="preserve"> While justifications for individuals’ actions were rarely found within the sources, I occasionally propose the different available options for women in an effort to illuminate this negotiation process and the potential for contradictions and subversions. Thus, emphasising women’s constrained agency is an important way to counter the narratives that relegate women, either American or Syrian, as the silent victims or marginal fixtures in history.</w:t>
      </w:r>
      <w:r w:rsidRPr="00440B9F">
        <w:rPr>
          <w:rFonts w:ascii="Palatino Linotype" w:hAnsi="Palatino Linotype"/>
          <w:sz w:val="22"/>
          <w:szCs w:val="22"/>
          <w:vertAlign w:val="superscript"/>
        </w:rPr>
        <w:footnoteReference w:id="48"/>
      </w:r>
    </w:p>
    <w:p w:rsidR="00A15CD3" w:rsidRPr="00440B9F" w:rsidRDefault="00A15CD3" w:rsidP="001761FF">
      <w:pPr>
        <w:spacing w:after="0" w:line="360" w:lineRule="auto"/>
        <w:jc w:val="both"/>
        <w:rPr>
          <w:rFonts w:ascii="Palatino Linotype" w:hAnsi="Palatino Linotype"/>
          <w:sz w:val="22"/>
          <w:szCs w:val="22"/>
        </w:rPr>
      </w:pPr>
      <w:r w:rsidRPr="00440B9F">
        <w:rPr>
          <w:rFonts w:ascii="Palatino Linotype" w:hAnsi="Palatino Linotype"/>
          <w:sz w:val="22"/>
          <w:szCs w:val="22"/>
        </w:rPr>
        <w:tab/>
        <w:t>Inspired by the concept of fields, I refer to the Protestant community as the ‘Protestant Circle’. This circular imagery is depicted in Appendix IV, which shows the members of Protestant community in a rounded chart. Employing the term ‘circle’ emphasises that Protestantism in Syria was unified by a specific ideological ‘gravity’ and concentrated on a central, elite group. For the period under review, this elite or ‘dominate’ group were the ABCFM missionaries, specifically the male missionaries. The individuals just beyond this central core occupied intermediate positions within the community and wielded varying levels of influence on this framework. Further out, along the margins or periphery were those who held tentative relations with other Protestants and maintained strong cultural, social or political ties to those outside of the Circle. Using this circular language emphasises that Protestantism in Ottoman Syria was never a strict hierarchy, but an intricate dispersal of power emanating from the centre. While the central figures sought to regulate and control this distribution, subsequent chapters show that this system remained relatively fluid, so that tensions and subversions emerged and undermined the central position of the ABCFM by 1860.</w:t>
      </w:r>
    </w:p>
    <w:p w:rsidR="00A15CD3" w:rsidRPr="00440B9F" w:rsidRDefault="00A15CD3" w:rsidP="001761FF">
      <w:pPr>
        <w:spacing w:after="0" w:line="360" w:lineRule="auto"/>
        <w:jc w:val="both"/>
        <w:rPr>
          <w:rFonts w:ascii="Palatino Linotype" w:hAnsi="Palatino Linotype"/>
          <w:sz w:val="22"/>
          <w:szCs w:val="22"/>
        </w:rPr>
      </w:pPr>
      <w:r w:rsidRPr="00440B9F">
        <w:rPr>
          <w:rFonts w:ascii="Palatino Linotype" w:hAnsi="Palatino Linotype"/>
          <w:sz w:val="22"/>
          <w:szCs w:val="22"/>
        </w:rPr>
        <w:tab/>
        <w:t>The term, circle, was also found in the sources analysed for this thesis. During the 1830s, ‘circle’ was used by the ABCFM missionaries to describe themselves and their Mission Church. This was interchangeable with ‘our little company’ or ‘communion and fellowship’.</w:t>
      </w:r>
      <w:r w:rsidRPr="00440B9F">
        <w:rPr>
          <w:rFonts w:ascii="Palatino Linotype" w:hAnsi="Palatino Linotype"/>
          <w:sz w:val="22"/>
          <w:szCs w:val="22"/>
          <w:vertAlign w:val="superscript"/>
        </w:rPr>
        <w:footnoteReference w:id="49"/>
      </w:r>
      <w:r w:rsidRPr="00440B9F">
        <w:rPr>
          <w:rFonts w:ascii="Palatino Linotype" w:hAnsi="Palatino Linotype"/>
          <w:sz w:val="22"/>
          <w:szCs w:val="22"/>
        </w:rPr>
        <w:t xml:space="preserve"> As the number of Protestants increased, the scope of the circle widened, so that by the 1850s, ‘our little circle’, included the ABCFM missionaries, Syrian Protestants and the employees in the missionaries’ households.</w:t>
      </w:r>
      <w:r w:rsidRPr="00440B9F">
        <w:rPr>
          <w:rFonts w:ascii="Palatino Linotype" w:hAnsi="Palatino Linotype"/>
          <w:sz w:val="22"/>
          <w:szCs w:val="22"/>
          <w:vertAlign w:val="superscript"/>
        </w:rPr>
        <w:footnoteReference w:id="50"/>
      </w:r>
      <w:r w:rsidRPr="00440B9F">
        <w:rPr>
          <w:rFonts w:ascii="Palatino Linotype" w:hAnsi="Palatino Linotype"/>
          <w:sz w:val="22"/>
          <w:szCs w:val="22"/>
        </w:rPr>
        <w:t xml:space="preserve"> My use of the Circle widens this definition and encompasses the entire Protestant community, including members of the ABCFM’s Mission Church and the ECB, as well as individuals who identified themselves to be Protestants but were not members of the Protestant churches. Many of the individuals who were included in my use of the term, Protestant Circle, are listed in Appendix I, II, and III. On the occasions when I solely discuss the ABCFM missionaries, who are listed in Appendix I, I will use the phrase ‘Syrian Station’, in order to emphasis my narrowing onto this smaller group.</w:t>
      </w:r>
    </w:p>
    <w:p w:rsidR="00A15CD3" w:rsidRPr="00440B9F" w:rsidRDefault="00A15CD3" w:rsidP="001761FF">
      <w:pPr>
        <w:spacing w:after="0" w:line="360" w:lineRule="auto"/>
        <w:jc w:val="both"/>
        <w:rPr>
          <w:rFonts w:ascii="Palatino Linotype" w:hAnsi="Palatino Linotype"/>
          <w:sz w:val="22"/>
          <w:szCs w:val="22"/>
        </w:rPr>
      </w:pPr>
      <w:r w:rsidRPr="00440B9F">
        <w:rPr>
          <w:rFonts w:ascii="Palatino Linotype" w:hAnsi="Palatino Linotype"/>
          <w:sz w:val="22"/>
          <w:szCs w:val="22"/>
        </w:rPr>
        <w:tab/>
        <w:t>Another concept of Practice Theory that influences my analysis is ‘symbolic capital’. Refining Marxists’ analysis, Bourdieu argued that societies can not be analysed through the sole lens of economic productivity and ownership, but through the categories used by individuals to mark the identity of their specific group and the social stratification amongst its members.</w:t>
      </w:r>
      <w:r w:rsidRPr="00440B9F">
        <w:rPr>
          <w:rStyle w:val="FootnoteReference"/>
          <w:rFonts w:ascii="Palatino Linotype" w:hAnsi="Palatino Linotype"/>
          <w:sz w:val="22"/>
          <w:szCs w:val="22"/>
        </w:rPr>
        <w:footnoteReference w:id="51"/>
      </w:r>
      <w:r w:rsidRPr="00440B9F">
        <w:rPr>
          <w:rFonts w:ascii="Palatino Linotype" w:hAnsi="Palatino Linotype"/>
          <w:sz w:val="22"/>
          <w:szCs w:val="22"/>
        </w:rPr>
        <w:t xml:space="preserve"> The project for researchers is to uncover the capital that defined a field as distinct from others and its criterion for social distinction. </w:t>
      </w:r>
    </w:p>
    <w:p w:rsidR="00A15CD3" w:rsidRPr="00440B9F" w:rsidRDefault="00A15CD3" w:rsidP="001761FF">
      <w:pPr>
        <w:spacing w:after="0" w:line="360" w:lineRule="auto"/>
        <w:jc w:val="both"/>
        <w:rPr>
          <w:rFonts w:ascii="Palatino Linotype" w:hAnsi="Palatino Linotype"/>
          <w:sz w:val="22"/>
          <w:szCs w:val="22"/>
        </w:rPr>
      </w:pPr>
      <w:r w:rsidRPr="00440B9F">
        <w:rPr>
          <w:rFonts w:ascii="Palatino Linotype" w:hAnsi="Palatino Linotype"/>
          <w:sz w:val="22"/>
          <w:szCs w:val="22"/>
        </w:rPr>
        <w:tab/>
        <w:t>One type of capital is cultural capital. This pertains to the different facets of culture, such as art, education, food, music, fashion, that were produced and accumulated by people in a society.</w:t>
      </w:r>
      <w:r w:rsidRPr="00440B9F">
        <w:rPr>
          <w:rFonts w:ascii="Palatino Linotype" w:hAnsi="Palatino Linotype"/>
          <w:sz w:val="22"/>
          <w:szCs w:val="22"/>
          <w:vertAlign w:val="superscript"/>
        </w:rPr>
        <w:footnoteReference w:id="52"/>
      </w:r>
      <w:r w:rsidRPr="00440B9F">
        <w:rPr>
          <w:rFonts w:ascii="Palatino Linotype" w:hAnsi="Palatino Linotype"/>
          <w:sz w:val="22"/>
          <w:szCs w:val="22"/>
        </w:rPr>
        <w:t xml:space="preserve"> Certain types of cultural capital are affiliated with different levels of power and authority, and can be analysed as the tangible markers of individuals’ positions within a field</w:t>
      </w:r>
      <w:r w:rsidRPr="00440B9F">
        <w:rPr>
          <w:rStyle w:val="FootnoteReference"/>
          <w:rFonts w:ascii="Palatino Linotype" w:hAnsi="Palatino Linotype"/>
          <w:sz w:val="22"/>
          <w:szCs w:val="22"/>
        </w:rPr>
        <w:footnoteReference w:id="53"/>
      </w:r>
      <w:r w:rsidRPr="00440B9F">
        <w:rPr>
          <w:rFonts w:ascii="Palatino Linotype" w:hAnsi="Palatino Linotype"/>
          <w:sz w:val="22"/>
          <w:szCs w:val="22"/>
        </w:rPr>
        <w:t xml:space="preserve"> For example, the ability to dictate and define what is ‘proper’ or high culture is a characteristic of the elite, for their definition of capital was recognised and applied as the normative standard for all within the group.</w:t>
      </w:r>
      <w:r w:rsidRPr="00440B9F">
        <w:rPr>
          <w:rFonts w:ascii="Palatino Linotype" w:hAnsi="Palatino Linotype"/>
          <w:sz w:val="22"/>
          <w:szCs w:val="22"/>
          <w:vertAlign w:val="superscript"/>
        </w:rPr>
        <w:footnoteReference w:id="54"/>
      </w:r>
      <w:r w:rsidRPr="00440B9F">
        <w:rPr>
          <w:rFonts w:ascii="Palatino Linotype" w:hAnsi="Palatino Linotype"/>
          <w:sz w:val="22"/>
          <w:szCs w:val="22"/>
        </w:rPr>
        <w:t xml:space="preserve"> This thesis identifies the terms for Protestant cultural capital that were embodied by the central members of the Protestant Circle, which were then employed, or at least recognised and adapted, by all Protestants. </w:t>
      </w:r>
    </w:p>
    <w:p w:rsidR="00A15CD3" w:rsidRPr="00440B9F" w:rsidRDefault="00A15CD3" w:rsidP="001761FF">
      <w:pPr>
        <w:spacing w:after="0" w:line="360" w:lineRule="auto"/>
        <w:jc w:val="both"/>
        <w:rPr>
          <w:rFonts w:ascii="Palatino Linotype" w:hAnsi="Palatino Linotype"/>
          <w:sz w:val="22"/>
          <w:szCs w:val="22"/>
        </w:rPr>
      </w:pPr>
      <w:r w:rsidRPr="00440B9F">
        <w:rPr>
          <w:rFonts w:ascii="Palatino Linotype" w:hAnsi="Palatino Linotype"/>
          <w:sz w:val="22"/>
          <w:szCs w:val="22"/>
        </w:rPr>
        <w:tab/>
        <w:t>Religious capital functioned as another form of capital for the Protestant Circle. Although Bourdieu posited religious capital as a subset of cultural capital,</w:t>
      </w:r>
      <w:r w:rsidRPr="00440B9F">
        <w:rPr>
          <w:rFonts w:ascii="Palatino Linotype" w:hAnsi="Palatino Linotype"/>
          <w:sz w:val="22"/>
          <w:szCs w:val="22"/>
          <w:vertAlign w:val="superscript"/>
        </w:rPr>
        <w:footnoteReference w:id="55"/>
      </w:r>
      <w:r w:rsidRPr="00440B9F">
        <w:rPr>
          <w:rFonts w:ascii="Palatino Linotype" w:hAnsi="Palatino Linotype"/>
          <w:sz w:val="22"/>
          <w:szCs w:val="22"/>
        </w:rPr>
        <w:t xml:space="preserve"> a distinction emerged within the Protestant Circle where cultural knowledge and prestige was occasionally differentiated from religious qualifications. For example, being literate and possessing high levels of Protestant cultural capital did not guarantee that one would be considered a pious Protestant. While aspects of Protestant cultural and religious capital overlapped, they are analysed as distinct characteristics of the Protestant identity in order to explain such incongruities.</w:t>
      </w:r>
    </w:p>
    <w:p w:rsidR="00A15CD3" w:rsidRPr="00440B9F" w:rsidRDefault="00A15CD3" w:rsidP="001761FF">
      <w:pPr>
        <w:spacing w:after="0" w:line="360" w:lineRule="auto"/>
        <w:jc w:val="both"/>
        <w:rPr>
          <w:rFonts w:ascii="Palatino Linotype" w:hAnsi="Palatino Linotype"/>
          <w:sz w:val="22"/>
          <w:szCs w:val="22"/>
        </w:rPr>
      </w:pPr>
      <w:r w:rsidRPr="00440B9F">
        <w:rPr>
          <w:rFonts w:ascii="Palatino Linotype" w:hAnsi="Palatino Linotype"/>
          <w:sz w:val="22"/>
          <w:szCs w:val="22"/>
        </w:rPr>
        <w:tab/>
        <w:t>Social capital is the third type of capital examined in this thesis. This type of capital is less of something to possess and perform than a description of how capital affects social relations.</w:t>
      </w:r>
      <w:r w:rsidRPr="00440B9F">
        <w:rPr>
          <w:rFonts w:ascii="Palatino Linotype" w:hAnsi="Palatino Linotype"/>
          <w:sz w:val="22"/>
          <w:szCs w:val="22"/>
          <w:vertAlign w:val="superscript"/>
        </w:rPr>
        <w:footnoteReference w:id="56"/>
      </w:r>
      <w:r w:rsidRPr="00440B9F">
        <w:rPr>
          <w:rFonts w:ascii="Palatino Linotype" w:hAnsi="Palatino Linotype"/>
          <w:sz w:val="22"/>
          <w:szCs w:val="22"/>
        </w:rPr>
        <w:t xml:space="preserve"> My analysis of Protestant social capital describes the different ways that individuals engaged with others in this field, which was affected by each person’s accumulation of cultural and religious capital and thus his/her position in the community. Certain activities and locations functioned as important sites for these social interactions, where the characteristics of the Protestant identity were negotiated and performed, and where the social stratification amongst Protestants was manifested and reinforced.</w:t>
      </w:r>
      <w:r w:rsidRPr="00440B9F">
        <w:rPr>
          <w:rFonts w:ascii="Palatino Linotype" w:hAnsi="Palatino Linotype"/>
          <w:sz w:val="22"/>
          <w:szCs w:val="22"/>
          <w:vertAlign w:val="superscript"/>
        </w:rPr>
        <w:footnoteReference w:id="57"/>
      </w:r>
      <w:r w:rsidRPr="00440B9F">
        <w:rPr>
          <w:rFonts w:ascii="Palatino Linotype" w:hAnsi="Palatino Linotype"/>
          <w:sz w:val="22"/>
          <w:szCs w:val="22"/>
        </w:rPr>
        <w:t xml:space="preserve"> This study demonstrates that kinship was an important facet of Protestant social relations, although the actual definition of the Protestant family and household was complex and in many ways open and flexible throughout the period under review. Nonetheless, ties of kinship, both biological and fictive, were elemental channels through which the Protestants defined, performed and reproduced their identity.</w:t>
      </w:r>
    </w:p>
    <w:p w:rsidR="00A15CD3" w:rsidRPr="00440B9F" w:rsidRDefault="00A15CD3" w:rsidP="001761FF">
      <w:pPr>
        <w:spacing w:after="0" w:line="360" w:lineRule="auto"/>
        <w:jc w:val="both"/>
        <w:rPr>
          <w:rFonts w:ascii="Palatino Linotype" w:hAnsi="Palatino Linotype"/>
          <w:sz w:val="22"/>
          <w:szCs w:val="22"/>
        </w:rPr>
      </w:pPr>
      <w:r w:rsidRPr="00440B9F">
        <w:rPr>
          <w:rFonts w:ascii="Palatino Linotype" w:hAnsi="Palatino Linotype"/>
          <w:sz w:val="22"/>
          <w:szCs w:val="22"/>
        </w:rPr>
        <w:tab/>
      </w:r>
      <w:r w:rsidRPr="00440B9F">
        <w:rPr>
          <w:rFonts w:ascii="Palatino Linotype" w:hAnsi="Palatino Linotype"/>
          <w:sz w:val="22"/>
          <w:szCs w:val="22"/>
        </w:rPr>
        <w:tab/>
        <w:t xml:space="preserve"> </w:t>
      </w:r>
    </w:p>
    <w:p w:rsidR="00A15CD3" w:rsidRPr="00440B9F" w:rsidRDefault="00A15CD3" w:rsidP="001761FF">
      <w:pPr>
        <w:spacing w:after="0" w:line="360" w:lineRule="auto"/>
        <w:jc w:val="both"/>
        <w:rPr>
          <w:rFonts w:ascii="Palatino Linotype" w:hAnsi="Palatino Linotype"/>
          <w:sz w:val="22"/>
          <w:szCs w:val="22"/>
          <w:highlight w:val="yellow"/>
        </w:rPr>
      </w:pPr>
    </w:p>
    <w:p w:rsidR="00A15CD3" w:rsidRPr="00440B9F" w:rsidRDefault="00A15CD3" w:rsidP="001761FF">
      <w:pPr>
        <w:spacing w:after="0" w:line="360" w:lineRule="auto"/>
        <w:jc w:val="center"/>
        <w:rPr>
          <w:rFonts w:ascii="Arial" w:hAnsi="Arial" w:cs="Arial"/>
          <w:smallCaps/>
          <w:sz w:val="22"/>
          <w:szCs w:val="22"/>
        </w:rPr>
      </w:pPr>
      <w:r w:rsidRPr="00440B9F">
        <w:rPr>
          <w:rFonts w:ascii="Arial" w:hAnsi="Arial" w:cs="Arial"/>
          <w:smallCaps/>
          <w:sz w:val="22"/>
          <w:szCs w:val="22"/>
        </w:rPr>
        <w:t>Sources For Analysis</w:t>
      </w:r>
    </w:p>
    <w:p w:rsidR="00A15CD3" w:rsidRPr="00440B9F" w:rsidRDefault="00A15CD3" w:rsidP="001761FF">
      <w:pPr>
        <w:spacing w:after="0" w:line="360" w:lineRule="auto"/>
        <w:jc w:val="both"/>
        <w:rPr>
          <w:rFonts w:ascii="Palatino Linotype" w:hAnsi="Palatino Linotype"/>
          <w:smallCaps/>
          <w:sz w:val="22"/>
          <w:szCs w:val="22"/>
        </w:rPr>
      </w:pPr>
      <w:r w:rsidRPr="00440B9F">
        <w:rPr>
          <w:rFonts w:ascii="Palatino Linotype" w:hAnsi="Palatino Linotype"/>
          <w:smallCaps/>
          <w:sz w:val="22"/>
          <w:szCs w:val="22"/>
        </w:rPr>
        <w:tab/>
      </w:r>
    </w:p>
    <w:p w:rsidR="00A15CD3" w:rsidRPr="00440B9F" w:rsidRDefault="00A15CD3" w:rsidP="001761FF">
      <w:pPr>
        <w:spacing w:after="0" w:line="360" w:lineRule="auto"/>
        <w:jc w:val="both"/>
        <w:rPr>
          <w:rFonts w:ascii="Palatino Linotype" w:hAnsi="Palatino Linotype"/>
          <w:sz w:val="22"/>
          <w:szCs w:val="22"/>
        </w:rPr>
      </w:pPr>
      <w:r w:rsidRPr="00440B9F">
        <w:rPr>
          <w:rFonts w:ascii="Palatino Linotype" w:hAnsi="Palatino Linotype"/>
          <w:sz w:val="22"/>
          <w:szCs w:val="22"/>
        </w:rPr>
        <w:t xml:space="preserve">Outlining the sources that were investigated and the way that they were read, is crucial in understanding how the structures of the Protestant Circle, its definitions of capital and the paradoxes of constrained agency are presented. The ABCFM archives served as the primary source of material for this investigation. One section of this archive was identified as ‘public’ records. The ABCFM’s Prudential Committee in Boston demanded constant updates from the field, which they filed and catalogued. At the start of each year, missionaries from each station compiled an ‘Annual Report’ in which they recounted the events of the previous year, and completed a standardised table, noting the number of converts and the cost of expenditures. Sporadic reports were also written to provide additional information on the station’s activities, its members and the people living in the region, as well as outlining any hindrances and dangers faced by the station. A number of these letters were edited and printed in the ABCFM’s magazine, the </w:t>
      </w:r>
      <w:r w:rsidRPr="00440B9F">
        <w:rPr>
          <w:rFonts w:ascii="Palatino Linotype" w:hAnsi="Palatino Linotype"/>
          <w:i/>
          <w:sz w:val="22"/>
          <w:szCs w:val="22"/>
        </w:rPr>
        <w:t>Missionary Herald</w:t>
      </w:r>
      <w:r w:rsidRPr="00440B9F">
        <w:rPr>
          <w:rFonts w:ascii="Palatino Linotype" w:hAnsi="Palatino Linotype"/>
          <w:sz w:val="22"/>
          <w:szCs w:val="22"/>
        </w:rPr>
        <w:t>, as well as in various other publications funded by the ABCFM.</w:t>
      </w:r>
      <w:r w:rsidRPr="00440B9F">
        <w:rPr>
          <w:rStyle w:val="FootnoteReference"/>
          <w:rFonts w:ascii="Palatino Linotype" w:hAnsi="Palatino Linotype"/>
          <w:sz w:val="22"/>
          <w:szCs w:val="22"/>
        </w:rPr>
        <w:footnoteReference w:id="58"/>
      </w:r>
      <w:r w:rsidRPr="00440B9F">
        <w:rPr>
          <w:rFonts w:ascii="Palatino Linotype" w:hAnsi="Palatino Linotype"/>
          <w:sz w:val="22"/>
          <w:szCs w:val="22"/>
        </w:rPr>
        <w:t xml:space="preserve"> Some missionaries from the Syrian Station also wrote books that were published independent of the ABCFM, but which included information on the Protestant Circle and can be considered part of this ‘public’ record.</w:t>
      </w:r>
      <w:r w:rsidRPr="00440B9F">
        <w:rPr>
          <w:rStyle w:val="FootnoteReference"/>
          <w:rFonts w:ascii="Palatino Linotype" w:hAnsi="Palatino Linotype"/>
          <w:sz w:val="22"/>
          <w:szCs w:val="22"/>
        </w:rPr>
        <w:footnoteReference w:id="59"/>
      </w:r>
      <w:r w:rsidRPr="00440B9F">
        <w:rPr>
          <w:rFonts w:ascii="Palatino Linotype" w:hAnsi="Palatino Linotype"/>
          <w:sz w:val="22"/>
          <w:szCs w:val="22"/>
        </w:rPr>
        <w:t xml:space="preserve"> Such works included memoirs, which were published after the death of a missionary by his/her family.</w:t>
      </w:r>
      <w:r w:rsidRPr="00440B9F">
        <w:rPr>
          <w:rFonts w:ascii="Palatino Linotype" w:hAnsi="Palatino Linotype"/>
          <w:sz w:val="22"/>
          <w:szCs w:val="22"/>
          <w:vertAlign w:val="superscript"/>
        </w:rPr>
        <w:footnoteReference w:id="60"/>
      </w:r>
      <w:r w:rsidRPr="00440B9F">
        <w:rPr>
          <w:rFonts w:ascii="Palatino Linotype" w:hAnsi="Palatino Linotype"/>
          <w:sz w:val="22"/>
          <w:szCs w:val="22"/>
        </w:rPr>
        <w:t xml:space="preserve"> </w:t>
      </w:r>
    </w:p>
    <w:p w:rsidR="00A15CD3" w:rsidRPr="00440B9F" w:rsidRDefault="00A15CD3" w:rsidP="001761FF">
      <w:pPr>
        <w:spacing w:after="0" w:line="360" w:lineRule="auto"/>
        <w:jc w:val="both"/>
        <w:rPr>
          <w:rFonts w:ascii="Palatino Linotype" w:hAnsi="Palatino Linotype"/>
          <w:sz w:val="22"/>
          <w:szCs w:val="22"/>
        </w:rPr>
      </w:pPr>
      <w:r w:rsidRPr="00440B9F">
        <w:rPr>
          <w:rFonts w:ascii="Palatino Linotype" w:hAnsi="Palatino Linotype"/>
          <w:sz w:val="22"/>
          <w:szCs w:val="22"/>
        </w:rPr>
        <w:tab/>
        <w:t>These ‘public’ writings of the ABCFM were widely circulated throughout the United States, with some being referenced to by other American authors.</w:t>
      </w:r>
      <w:r w:rsidRPr="00440B9F">
        <w:rPr>
          <w:rFonts w:ascii="Palatino Linotype" w:hAnsi="Palatino Linotype"/>
          <w:sz w:val="22"/>
          <w:szCs w:val="22"/>
          <w:vertAlign w:val="superscript"/>
        </w:rPr>
        <w:footnoteReference w:id="61"/>
      </w:r>
      <w:r w:rsidRPr="00440B9F">
        <w:rPr>
          <w:rFonts w:ascii="Palatino Linotype" w:hAnsi="Palatino Linotype"/>
          <w:sz w:val="22"/>
          <w:szCs w:val="22"/>
        </w:rPr>
        <w:t xml:space="preserve"> They served as the primary channel through which the American populace gained information on contemporary Syria and the Protestant Circle during the first half of the nineteenth century.</w:t>
      </w:r>
      <w:r w:rsidRPr="00440B9F">
        <w:rPr>
          <w:rFonts w:ascii="Palatino Linotype" w:hAnsi="Palatino Linotype"/>
          <w:sz w:val="22"/>
          <w:szCs w:val="22"/>
          <w:vertAlign w:val="superscript"/>
        </w:rPr>
        <w:footnoteReference w:id="62"/>
      </w:r>
      <w:r w:rsidRPr="00440B9F">
        <w:rPr>
          <w:rFonts w:ascii="Palatino Linotype" w:hAnsi="Palatino Linotype"/>
          <w:sz w:val="22"/>
          <w:szCs w:val="22"/>
        </w:rPr>
        <w:t xml:space="preserve"> Many of the ABCFM missionaries recognised the ‘public’ nature of their writings and as a result, the narrative style and content of their letters resonate with pieces of contemporary non-fiction literature, while some had clear agendas, such as describing the success or the correctable problems of schools in order to solicit funds to support such endeavours.</w:t>
      </w:r>
      <w:r w:rsidRPr="00440B9F">
        <w:rPr>
          <w:rStyle w:val="FootnoteReference"/>
          <w:rFonts w:ascii="Palatino Linotype" w:hAnsi="Palatino Linotype"/>
          <w:sz w:val="22"/>
          <w:szCs w:val="22"/>
        </w:rPr>
        <w:footnoteReference w:id="63"/>
      </w:r>
      <w:r w:rsidRPr="00440B9F">
        <w:rPr>
          <w:rFonts w:ascii="Palatino Linotype" w:hAnsi="Palatino Linotype"/>
          <w:sz w:val="22"/>
          <w:szCs w:val="22"/>
        </w:rPr>
        <w:t xml:space="preserve"> Recognising the public nature of these letters and books allowed me to read them as both sources of data on the mission and channels through which the missionaries presented their views to wider audiences, while remaining aware of the limitations, in regard to content and perspective, that they encompassed.</w:t>
      </w:r>
    </w:p>
    <w:p w:rsidR="00A15CD3" w:rsidRPr="00440B9F" w:rsidRDefault="00A15CD3" w:rsidP="001761FF">
      <w:pPr>
        <w:spacing w:after="0" w:line="360" w:lineRule="auto"/>
        <w:jc w:val="both"/>
        <w:rPr>
          <w:rFonts w:ascii="Palatino Linotype" w:hAnsi="Palatino Linotype"/>
          <w:sz w:val="22"/>
          <w:szCs w:val="22"/>
        </w:rPr>
      </w:pPr>
      <w:r w:rsidRPr="00440B9F">
        <w:rPr>
          <w:rFonts w:ascii="Palatino Linotype" w:hAnsi="Palatino Linotype"/>
          <w:sz w:val="22"/>
          <w:szCs w:val="22"/>
        </w:rPr>
        <w:tab/>
        <w:t>‘Public’ letters differed from those intended for ‘private’ audiences. Some of the letters written by the missionaries to the ABCFM’s Prudential Committee were marked as ‘confidential’ and were not to be published. Such letters informed the ABCFM’s Prudential Committee about personal and sensitive events, which may have compromised the mission’s work if publically circulated.</w:t>
      </w:r>
      <w:r w:rsidRPr="00440B9F">
        <w:rPr>
          <w:rFonts w:ascii="Palatino Linotype" w:hAnsi="Palatino Linotype"/>
          <w:sz w:val="22"/>
          <w:szCs w:val="22"/>
          <w:vertAlign w:val="superscript"/>
        </w:rPr>
        <w:footnoteReference w:id="64"/>
      </w:r>
      <w:r w:rsidRPr="00440B9F">
        <w:rPr>
          <w:rFonts w:ascii="Palatino Linotype" w:hAnsi="Palatino Linotype"/>
          <w:sz w:val="22"/>
          <w:szCs w:val="22"/>
        </w:rPr>
        <w:t xml:space="preserve"> Correspondences with family members and friends in the United States and amongst the missionaries in the Ottoman Empire can also be regarded as ‘private’ in nature. Through these letters, the missionaries voiced their frustrations with the ABCFM’s policies and presented opinions that differed from those found in the official, public reports. The ‘private’ label of these works is misleading however, for some letters were circulated amongst family members and saved for posthumous publication.</w:t>
      </w:r>
      <w:r w:rsidRPr="00440B9F">
        <w:rPr>
          <w:rStyle w:val="FootnoteReference"/>
          <w:rFonts w:ascii="Palatino Linotype" w:hAnsi="Palatino Linotype"/>
          <w:sz w:val="22"/>
          <w:szCs w:val="22"/>
        </w:rPr>
        <w:footnoteReference w:id="65"/>
      </w:r>
      <w:r w:rsidRPr="00440B9F">
        <w:rPr>
          <w:rFonts w:ascii="Palatino Linotype" w:hAnsi="Palatino Linotype"/>
          <w:sz w:val="22"/>
          <w:szCs w:val="22"/>
        </w:rPr>
        <w:t xml:space="preserve"> Furthermore, the fact that many are found within the ABCFM archives reveals their eventual public nature. Nevertheless, identifying these correspondences as ‘private’ is important for they provided details on the mundane activities of the mission that were excluded from the more ‘public’ sources and subsequent histories of the community.</w:t>
      </w:r>
    </w:p>
    <w:p w:rsidR="00A15CD3" w:rsidRPr="00440B9F" w:rsidRDefault="00A15CD3" w:rsidP="001761FF">
      <w:pPr>
        <w:spacing w:after="0" w:line="360" w:lineRule="auto"/>
        <w:jc w:val="both"/>
        <w:rPr>
          <w:rFonts w:ascii="Palatino Linotype" w:hAnsi="Palatino Linotype"/>
          <w:sz w:val="22"/>
          <w:szCs w:val="22"/>
        </w:rPr>
      </w:pPr>
      <w:r w:rsidRPr="00440B9F">
        <w:rPr>
          <w:rFonts w:ascii="Palatino Linotype" w:hAnsi="Palatino Linotype"/>
          <w:sz w:val="22"/>
          <w:szCs w:val="22"/>
        </w:rPr>
        <w:tab/>
        <w:t>For this thesis, I investigated missionary letters, both ‘public’ and ‘private’, held by the Houghton Library at Harvard University and Yale Divinity School Library as well as those copied onto microfilm, specifically the ABCFM Unit 5: The Near East (</w:t>
      </w:r>
      <w:r w:rsidRPr="00440B9F">
        <w:rPr>
          <w:rFonts w:ascii="Palatino Linotype" w:hAnsi="Palatino Linotype"/>
          <w:bCs/>
          <w:sz w:val="22"/>
          <w:szCs w:val="22"/>
        </w:rPr>
        <w:t>1817-1919): Syrian/Assyria Mission (Reel 537-552).</w:t>
      </w:r>
      <w:r w:rsidRPr="00440B9F">
        <w:rPr>
          <w:rStyle w:val="FootnoteReference"/>
          <w:rFonts w:ascii="Palatino Linotype" w:hAnsi="Palatino Linotype"/>
          <w:bCs/>
          <w:sz w:val="22"/>
          <w:szCs w:val="22"/>
        </w:rPr>
        <w:footnoteReference w:id="66"/>
      </w:r>
      <w:r w:rsidRPr="00440B9F">
        <w:rPr>
          <w:rFonts w:ascii="Palatino Linotype" w:hAnsi="Palatino Linotype"/>
          <w:bCs/>
          <w:sz w:val="22"/>
          <w:szCs w:val="22"/>
        </w:rPr>
        <w:t xml:space="preserve"> These were compared to the articles printed in the </w:t>
      </w:r>
      <w:r w:rsidRPr="00440B9F">
        <w:rPr>
          <w:rFonts w:ascii="Palatino Linotype" w:hAnsi="Palatino Linotype"/>
          <w:bCs/>
          <w:i/>
          <w:sz w:val="22"/>
          <w:szCs w:val="22"/>
        </w:rPr>
        <w:t>Missionary Herald</w:t>
      </w:r>
      <w:r w:rsidRPr="00440B9F">
        <w:rPr>
          <w:rFonts w:ascii="Palatino Linotype" w:hAnsi="Palatino Linotype"/>
          <w:bCs/>
          <w:sz w:val="22"/>
          <w:szCs w:val="22"/>
        </w:rPr>
        <w:t>, copies of which were found at Andover-Harvard Theological Library, and the missionaries’ reports, including Annual Reviews, found in the ABCFM Unit 5 microfilm. In addition, I studied the published memoirs of the ABCFM missionaries, which are available at most university and deposit libraries.</w:t>
      </w:r>
      <w:r w:rsidRPr="00440B9F">
        <w:rPr>
          <w:rStyle w:val="FootnoteReference"/>
          <w:rFonts w:ascii="Palatino Linotype" w:hAnsi="Palatino Linotype"/>
          <w:bCs/>
          <w:sz w:val="22"/>
          <w:szCs w:val="22"/>
        </w:rPr>
        <w:footnoteReference w:id="67"/>
      </w:r>
      <w:r w:rsidRPr="00440B9F">
        <w:rPr>
          <w:rFonts w:ascii="Palatino Linotype" w:hAnsi="Palatino Linotype"/>
          <w:bCs/>
          <w:sz w:val="22"/>
          <w:szCs w:val="22"/>
        </w:rPr>
        <w:t xml:space="preserve"> Comparing the information described in these different works offered a fuller, although not a complete, view of the Syrian Station and the Protestant Circle.</w:t>
      </w:r>
    </w:p>
    <w:p w:rsidR="00A15CD3" w:rsidRPr="00440B9F" w:rsidRDefault="00A15CD3" w:rsidP="001761FF">
      <w:pPr>
        <w:spacing w:after="0" w:line="360" w:lineRule="auto"/>
        <w:jc w:val="both"/>
        <w:rPr>
          <w:rFonts w:ascii="Palatino Linotype" w:hAnsi="Palatino Linotype"/>
          <w:sz w:val="22"/>
          <w:szCs w:val="22"/>
        </w:rPr>
      </w:pPr>
      <w:r w:rsidRPr="00440B9F">
        <w:rPr>
          <w:rFonts w:ascii="Palatino Linotype" w:hAnsi="Palatino Linotype"/>
          <w:sz w:val="22"/>
          <w:szCs w:val="22"/>
        </w:rPr>
        <w:tab/>
        <w:t>The writings of European and American residents and travellers to Syria were also analysed to provide another view of the Protestant community and situate the Circle within an international context. For example, information on the Protestant community was recorded by British diplomats, since Americans living in Syria were under British protection until 1834. Due to personal and political ties amongst the ABCFM missionaries, Syrian Protestants and the British consulates however, information on the Protestants were found in the British Foreign Office records for the entire nineteenth century.</w:t>
      </w:r>
      <w:r w:rsidRPr="00440B9F">
        <w:rPr>
          <w:rFonts w:ascii="Palatino Linotype" w:hAnsi="Palatino Linotype"/>
          <w:sz w:val="22"/>
          <w:szCs w:val="22"/>
          <w:vertAlign w:val="superscript"/>
        </w:rPr>
        <w:footnoteReference w:id="68"/>
      </w:r>
      <w:r w:rsidRPr="00440B9F">
        <w:rPr>
          <w:rFonts w:ascii="Palatino Linotype" w:hAnsi="Palatino Linotype"/>
          <w:sz w:val="22"/>
          <w:szCs w:val="22"/>
        </w:rPr>
        <w:t xml:space="preserve"> In addition, published memoirs and travellers’ accounts to the Middle East, which are available at most deposit libraries, provided additional details on the community and compliments those found in the ABCFM sources.</w:t>
      </w:r>
      <w:r w:rsidRPr="00440B9F">
        <w:rPr>
          <w:rFonts w:ascii="Palatino Linotype" w:hAnsi="Palatino Linotype"/>
          <w:sz w:val="22"/>
          <w:szCs w:val="22"/>
          <w:vertAlign w:val="superscript"/>
        </w:rPr>
        <w:footnoteReference w:id="69"/>
      </w:r>
    </w:p>
    <w:p w:rsidR="00A15CD3" w:rsidRPr="00440B9F" w:rsidRDefault="00A15CD3" w:rsidP="001761FF">
      <w:pPr>
        <w:spacing w:after="0" w:line="360" w:lineRule="auto"/>
        <w:jc w:val="both"/>
        <w:rPr>
          <w:rFonts w:ascii="Palatino Linotype" w:hAnsi="Palatino Linotype"/>
          <w:sz w:val="22"/>
          <w:szCs w:val="22"/>
        </w:rPr>
      </w:pPr>
      <w:r w:rsidRPr="00440B9F">
        <w:rPr>
          <w:rFonts w:ascii="Palatino Linotype" w:hAnsi="Palatino Linotype"/>
          <w:sz w:val="22"/>
          <w:szCs w:val="22"/>
        </w:rPr>
        <w:tab/>
        <w:t>A frequent lamentation of scholars researching mission work pertains to the unevenness of sources. As Eleanor Doumato points out that ‘[t]he most vexing handicap…is lack of indigenous voices. Rare is the diary or collection of letters from former students or members of missionary churches’.</w:t>
      </w:r>
      <w:r w:rsidRPr="00440B9F">
        <w:rPr>
          <w:rFonts w:ascii="Palatino Linotype" w:hAnsi="Palatino Linotype"/>
          <w:sz w:val="22"/>
          <w:szCs w:val="22"/>
          <w:vertAlign w:val="superscript"/>
        </w:rPr>
        <w:footnoteReference w:id="70"/>
      </w:r>
      <w:r w:rsidRPr="00440B9F">
        <w:rPr>
          <w:rFonts w:ascii="Palatino Linotype" w:hAnsi="Palatino Linotype"/>
          <w:sz w:val="22"/>
          <w:szCs w:val="22"/>
        </w:rPr>
        <w:t xml:space="preserve"> Doumato’s complaint resonates with my own frustrations, for an important source of information on the Protestant Circe, the ECB’s church records, were not found during my research. Contemporary sources noted that each presbyter of the ECB was to maintain a ‘book in which he shall record the names of the born, baptized, communicants, married, and deceased among his flock, with such notices of time and place as shall be necessary for future reference’.</w:t>
      </w:r>
      <w:r w:rsidRPr="00440B9F">
        <w:rPr>
          <w:rFonts w:ascii="Palatino Linotype" w:hAnsi="Palatino Linotype"/>
          <w:sz w:val="22"/>
          <w:szCs w:val="22"/>
          <w:vertAlign w:val="superscript"/>
        </w:rPr>
        <w:footnoteReference w:id="71"/>
      </w:r>
      <w:r w:rsidRPr="00440B9F">
        <w:rPr>
          <w:rFonts w:ascii="Palatino Linotype" w:hAnsi="Palatino Linotype"/>
          <w:sz w:val="22"/>
          <w:szCs w:val="22"/>
        </w:rPr>
        <w:t xml:space="preserve"> I did not find these records during my research in Lebanon, which may be due to my position as an ‘outsider’ to the present-day Protestant community. However, other researchers on this community do not mention analysing these sources for the period under review. This allows me to conclude that these records were either lost or destroyed when the National Evangelical Church was damaged during the recent civil war.</w:t>
      </w:r>
      <w:r w:rsidRPr="00440B9F">
        <w:rPr>
          <w:rFonts w:ascii="Palatino Linotype" w:hAnsi="Palatino Linotype"/>
          <w:sz w:val="22"/>
          <w:szCs w:val="22"/>
          <w:vertAlign w:val="superscript"/>
        </w:rPr>
        <w:footnoteReference w:id="72"/>
      </w:r>
      <w:r w:rsidRPr="00440B9F">
        <w:rPr>
          <w:rFonts w:ascii="Palatino Linotype" w:hAnsi="Palatino Linotype"/>
          <w:sz w:val="22"/>
          <w:szCs w:val="22"/>
        </w:rPr>
        <w:t xml:space="preserve"> </w:t>
      </w:r>
    </w:p>
    <w:p w:rsidR="00A15CD3" w:rsidRPr="00440B9F" w:rsidRDefault="00A15CD3" w:rsidP="001761FF">
      <w:pPr>
        <w:spacing w:after="0" w:line="360" w:lineRule="auto"/>
        <w:jc w:val="both"/>
        <w:rPr>
          <w:rFonts w:ascii="Palatino Linotype" w:hAnsi="Palatino Linotype"/>
          <w:sz w:val="22"/>
          <w:szCs w:val="22"/>
        </w:rPr>
      </w:pPr>
      <w:r w:rsidRPr="00440B9F">
        <w:rPr>
          <w:rFonts w:ascii="Palatino Linotype" w:hAnsi="Palatino Linotype"/>
          <w:sz w:val="22"/>
          <w:szCs w:val="22"/>
        </w:rPr>
        <w:tab/>
        <w:t>In recognising a similar constraint to their own research, Jean and John Comaroff argued that ‘the [targeted communities] speak through the European text; to the extent that “the other” is a construction of an imperializing imagination, s/he will always dwell in the shadows of its dominant discourse.’</w:t>
      </w:r>
      <w:r w:rsidRPr="00440B9F">
        <w:rPr>
          <w:rFonts w:ascii="Palatino Linotype" w:hAnsi="Palatino Linotype"/>
          <w:sz w:val="22"/>
          <w:szCs w:val="22"/>
          <w:vertAlign w:val="superscript"/>
        </w:rPr>
        <w:footnoteReference w:id="73"/>
      </w:r>
      <w:r w:rsidRPr="00440B9F">
        <w:rPr>
          <w:rFonts w:ascii="Palatino Linotype" w:hAnsi="Palatino Linotype"/>
          <w:sz w:val="22"/>
          <w:szCs w:val="22"/>
        </w:rPr>
        <w:t xml:space="preserve"> Employing a constructive and careful re-reading of missionary sources is thus another way to reconcile these gaps and rediscover the people and events that have been overlooked or marginalised in previous histories of this encounter.</w:t>
      </w:r>
      <w:r w:rsidRPr="00440B9F">
        <w:rPr>
          <w:rFonts w:ascii="Palatino Linotype" w:hAnsi="Palatino Linotype"/>
          <w:sz w:val="22"/>
          <w:szCs w:val="22"/>
          <w:vertAlign w:val="superscript"/>
        </w:rPr>
        <w:footnoteReference w:id="74"/>
      </w:r>
      <w:r w:rsidRPr="00440B9F">
        <w:rPr>
          <w:rFonts w:ascii="Palatino Linotype" w:hAnsi="Palatino Linotype"/>
          <w:sz w:val="22"/>
          <w:szCs w:val="22"/>
        </w:rPr>
        <w:t xml:space="preserve"> As this thesis will show, identifying the gaps and sites of conflict between the missionaries and Syrian Protestants within the ABCFM sources served as an important point for me to begin questioning the narratives on this community, even when no other information on the event is available.</w:t>
      </w:r>
    </w:p>
    <w:p w:rsidR="00A15CD3" w:rsidRPr="00440B9F" w:rsidRDefault="00A15CD3" w:rsidP="001761FF">
      <w:pPr>
        <w:spacing w:after="0" w:line="360" w:lineRule="auto"/>
        <w:jc w:val="both"/>
        <w:rPr>
          <w:rFonts w:ascii="Palatino Linotype" w:hAnsi="Palatino Linotype"/>
          <w:sz w:val="22"/>
          <w:szCs w:val="22"/>
        </w:rPr>
      </w:pPr>
      <w:r w:rsidRPr="00440B9F">
        <w:rPr>
          <w:rFonts w:ascii="Palatino Linotype" w:hAnsi="Palatino Linotype"/>
          <w:sz w:val="22"/>
          <w:szCs w:val="22"/>
        </w:rPr>
        <w:tab/>
        <w:t>It is important to note that some letters written by Syrian Protestants were found within missionary sources. These were primarily letters composed by Syrian Protestants to the ABCFM missionaries. They varied in content from the private details of familial activities to formal complaints logged against the ABCFM’s policies.</w:t>
      </w:r>
      <w:r w:rsidRPr="00440B9F">
        <w:rPr>
          <w:rFonts w:ascii="Palatino Linotype" w:hAnsi="Palatino Linotype"/>
          <w:sz w:val="22"/>
          <w:szCs w:val="22"/>
          <w:vertAlign w:val="superscript"/>
        </w:rPr>
        <w:footnoteReference w:id="75"/>
      </w:r>
      <w:r w:rsidRPr="00440B9F">
        <w:rPr>
          <w:rFonts w:ascii="Palatino Linotype" w:hAnsi="Palatino Linotype"/>
          <w:sz w:val="22"/>
          <w:szCs w:val="22"/>
        </w:rPr>
        <w:t xml:space="preserve"> Some Syrian Protestant men also wrote books and articles that were published and circulated within the United States and Europe, particularly during the 1850s and often independent of the ABCFM. Written in both Arabic and English, these publications were either academic studies or ‘travellers accounts’ and followed the narrative styles that were popular in contemporary Europe and America.</w:t>
      </w:r>
      <w:r w:rsidRPr="00440B9F">
        <w:rPr>
          <w:rFonts w:ascii="Palatino Linotype" w:hAnsi="Palatino Linotype"/>
          <w:sz w:val="22"/>
          <w:szCs w:val="22"/>
          <w:vertAlign w:val="superscript"/>
        </w:rPr>
        <w:footnoteReference w:id="76"/>
      </w:r>
      <w:r w:rsidRPr="00440B9F">
        <w:rPr>
          <w:rFonts w:ascii="Palatino Linotype" w:hAnsi="Palatino Linotype"/>
          <w:sz w:val="22"/>
          <w:szCs w:val="22"/>
        </w:rPr>
        <w:t xml:space="preserve"> These works are available at most university and deposit libraries and often present a different perspective on the Protestant Circle and provide details that were not found in the ABCFM sources.</w:t>
      </w:r>
      <w:r w:rsidRPr="00440B9F">
        <w:rPr>
          <w:rFonts w:ascii="Palatino Linotype" w:hAnsi="Palatino Linotype"/>
          <w:sz w:val="22"/>
          <w:szCs w:val="22"/>
          <w:vertAlign w:val="superscript"/>
        </w:rPr>
        <w:footnoteReference w:id="77"/>
      </w:r>
      <w:r w:rsidRPr="00440B9F">
        <w:rPr>
          <w:rFonts w:ascii="Palatino Linotype" w:hAnsi="Palatino Linotype"/>
          <w:sz w:val="22"/>
          <w:szCs w:val="22"/>
        </w:rPr>
        <w:t xml:space="preserve"> Like the content of missionary sources, the material presented in these letters and books were analysed in a manner that recognised the individual’s position within the community and their possible intentions and motivations.</w:t>
      </w:r>
    </w:p>
    <w:p w:rsidR="00A15CD3" w:rsidRPr="00440B9F" w:rsidRDefault="00A15CD3" w:rsidP="001761FF">
      <w:pPr>
        <w:spacing w:after="0" w:line="360" w:lineRule="auto"/>
        <w:jc w:val="both"/>
        <w:rPr>
          <w:rFonts w:ascii="Palatino Linotype" w:hAnsi="Palatino Linotype"/>
          <w:sz w:val="22"/>
          <w:szCs w:val="22"/>
        </w:rPr>
      </w:pPr>
      <w:r w:rsidRPr="00440B9F">
        <w:rPr>
          <w:rFonts w:ascii="Palatino Linotype" w:hAnsi="Palatino Linotype"/>
          <w:sz w:val="22"/>
          <w:szCs w:val="22"/>
        </w:rPr>
        <w:tab/>
        <w:t xml:space="preserve"> The gender of the work’s author also affected the recording and cataloguing of these sources. Many of the ‘public’ letters were written by men to men, in a manner that emphasised the centrality of the ABCFM male missionaries and elite Syrian Protestant men within the community. While more research is needed to analyse how the </w:t>
      </w:r>
      <w:r w:rsidRPr="00440B9F">
        <w:rPr>
          <w:rFonts w:ascii="Palatino Linotype" w:hAnsi="Palatino Linotype"/>
          <w:i/>
          <w:sz w:val="22"/>
          <w:szCs w:val="22"/>
        </w:rPr>
        <w:t>Missionary Herald</w:t>
      </w:r>
      <w:r w:rsidRPr="00440B9F">
        <w:rPr>
          <w:rFonts w:ascii="Palatino Linotype" w:hAnsi="Palatino Linotype"/>
          <w:sz w:val="22"/>
          <w:szCs w:val="22"/>
        </w:rPr>
        <w:t>, Annual Reports and travel narratives were gendered as masculine outlets, reading these works ‘against the grain’ is one way to uncover the roles and activities of women in this encounter.</w:t>
      </w:r>
      <w:r w:rsidRPr="00440B9F">
        <w:rPr>
          <w:rStyle w:val="FootnoteReference"/>
          <w:rFonts w:ascii="Palatino Linotype" w:hAnsi="Palatino Linotype"/>
          <w:sz w:val="22"/>
          <w:szCs w:val="22"/>
        </w:rPr>
        <w:footnoteReference w:id="78"/>
      </w:r>
      <w:r w:rsidRPr="00440B9F">
        <w:rPr>
          <w:rFonts w:ascii="Palatino Linotype" w:hAnsi="Palatino Linotype"/>
          <w:sz w:val="22"/>
          <w:szCs w:val="22"/>
        </w:rPr>
        <w:t xml:space="preserve"> Some letters were written by women, but edited by men and published in collected volumes. This complicates how we interpret these letters and identify the author’s gender.</w:t>
      </w:r>
      <w:r w:rsidRPr="00440B9F">
        <w:rPr>
          <w:rStyle w:val="FootnoteReference"/>
          <w:rFonts w:ascii="Palatino Linotype" w:hAnsi="Palatino Linotype"/>
          <w:sz w:val="22"/>
          <w:szCs w:val="22"/>
        </w:rPr>
        <w:footnoteReference w:id="79"/>
      </w:r>
      <w:r w:rsidRPr="00440B9F">
        <w:rPr>
          <w:rFonts w:ascii="Palatino Linotype" w:hAnsi="Palatino Linotype"/>
          <w:sz w:val="22"/>
          <w:szCs w:val="22"/>
        </w:rPr>
        <w:t xml:space="preserve"> Moreover, many of these edited letters were originally reports on schools or other institutions, which could be read as the women’s ‘public’ view of the community, for they differed, in style and content, from the letters sent to family and friends, in which daily activities, living arrangements and interactions with others were discussed. Although very few letters written by Syrian Protestant women were found, their voices were not lost, particularly as incidents of conflict and sites of exchange amongst women were occasionally recorded by the missionaries. It was through examining these incidents of encounter and negotiation that the divergent interpretations of Protestantism, especially Protestant womanhood, were uncovered. </w:t>
      </w:r>
    </w:p>
    <w:p w:rsidR="00A15CD3" w:rsidRPr="00440B9F" w:rsidRDefault="00A15CD3" w:rsidP="001761FF">
      <w:pPr>
        <w:spacing w:after="0" w:line="360" w:lineRule="auto"/>
        <w:jc w:val="both"/>
        <w:rPr>
          <w:rFonts w:ascii="Palatino Linotype" w:hAnsi="Palatino Linotype"/>
          <w:sz w:val="22"/>
          <w:szCs w:val="22"/>
        </w:rPr>
      </w:pPr>
      <w:r w:rsidRPr="00440B9F">
        <w:rPr>
          <w:rFonts w:ascii="Palatino Linotype" w:hAnsi="Palatino Linotype"/>
          <w:sz w:val="22"/>
          <w:szCs w:val="22"/>
        </w:rPr>
        <w:tab/>
        <w:t>This research was further refined by examining non-written sources. Maps were invaluable in determining the locations for the Protestants’ activities and the significance of these spaces. For example, Beirut was rarely specified in European and American maps before 1840. Missionary maps, particularly those printed by the ABCFM, were often the first to identify Beirut as an important city for the Mediterranean region during the mid-nineteenth century.</w:t>
      </w:r>
      <w:r w:rsidRPr="00440B9F">
        <w:rPr>
          <w:rStyle w:val="FootnoteReference"/>
          <w:rFonts w:ascii="Palatino Linotype" w:hAnsi="Palatino Linotype"/>
          <w:sz w:val="22"/>
          <w:szCs w:val="22"/>
        </w:rPr>
        <w:footnoteReference w:id="80"/>
      </w:r>
      <w:r w:rsidRPr="00440B9F">
        <w:rPr>
          <w:rFonts w:ascii="Palatino Linotype" w:hAnsi="Palatino Linotype"/>
          <w:sz w:val="22"/>
          <w:szCs w:val="22"/>
        </w:rPr>
        <w:t xml:space="preserve"> Such maps also revealed the changing demographics of Beirut and the Protestants’ position within these transformations. The maps of 1840 show the houses inhabited by the ABCFM missionaries located in sparsely populated suburbs. Later maps depict the suburban sprawl of the city, and illustrate that the Protestants’ house were then located in densely populated areas.</w:t>
      </w:r>
      <w:r w:rsidRPr="00440B9F">
        <w:rPr>
          <w:rStyle w:val="FootnoteReference"/>
          <w:rFonts w:ascii="Palatino Linotype" w:hAnsi="Palatino Linotype"/>
          <w:sz w:val="22"/>
          <w:szCs w:val="22"/>
        </w:rPr>
        <w:footnoteReference w:id="81"/>
      </w:r>
      <w:r w:rsidRPr="00440B9F">
        <w:rPr>
          <w:rFonts w:ascii="Palatino Linotype" w:hAnsi="Palatino Linotype"/>
          <w:sz w:val="22"/>
          <w:szCs w:val="22"/>
        </w:rPr>
        <w:t xml:space="preserve"> My interpretation of these maps and the changes they depict is presented in subsequent chapters. </w:t>
      </w:r>
    </w:p>
    <w:p w:rsidR="00A15CD3" w:rsidRPr="00440B9F" w:rsidRDefault="00A15CD3" w:rsidP="001761FF">
      <w:pPr>
        <w:spacing w:after="0" w:line="360" w:lineRule="auto"/>
        <w:jc w:val="both"/>
        <w:rPr>
          <w:rFonts w:ascii="Palatino Linotype" w:hAnsi="Palatino Linotype"/>
          <w:sz w:val="22"/>
          <w:szCs w:val="22"/>
        </w:rPr>
      </w:pPr>
      <w:r w:rsidRPr="00440B9F">
        <w:rPr>
          <w:rFonts w:ascii="Palatino Linotype" w:hAnsi="Palatino Linotype"/>
          <w:sz w:val="22"/>
          <w:szCs w:val="22"/>
        </w:rPr>
        <w:tab/>
        <w:t>Photographs served as another important source of information for this community. Even though photography was in its infancy during the period under review, some photographic portraits of the ABCFM missionaries and Syrian Protestants exist. These provide glimpses onto how the Protestants dressed and demonstrates their interest in innovative technologies.</w:t>
      </w:r>
      <w:r w:rsidRPr="00440B9F">
        <w:rPr>
          <w:rFonts w:ascii="Palatino Linotype" w:hAnsi="Palatino Linotype"/>
          <w:sz w:val="22"/>
          <w:szCs w:val="22"/>
          <w:vertAlign w:val="superscript"/>
        </w:rPr>
        <w:footnoteReference w:id="82"/>
      </w:r>
      <w:r w:rsidRPr="00440B9F">
        <w:rPr>
          <w:rFonts w:ascii="Palatino Linotype" w:hAnsi="Palatino Linotype"/>
          <w:sz w:val="22"/>
          <w:szCs w:val="22"/>
        </w:rPr>
        <w:t xml:space="preserve"> The written sources mention that daguerreotypes were taken of Syrian Protestant women, although copies of these images were not found, so that even though these women were willing to be photographed, their fashion and general appearances are presently unknown.</w:t>
      </w:r>
      <w:r w:rsidRPr="00440B9F">
        <w:rPr>
          <w:rStyle w:val="FootnoteReference"/>
          <w:rFonts w:ascii="Palatino Linotype" w:hAnsi="Palatino Linotype"/>
          <w:sz w:val="22"/>
          <w:szCs w:val="22"/>
        </w:rPr>
        <w:footnoteReference w:id="83"/>
      </w:r>
      <w:r w:rsidRPr="00440B9F">
        <w:rPr>
          <w:rFonts w:ascii="Palatino Linotype" w:hAnsi="Palatino Linotype"/>
          <w:sz w:val="22"/>
          <w:szCs w:val="22"/>
        </w:rPr>
        <w:t xml:space="preserve"> The architectural development of Protestant buildings was also revealed in photographs. This was particularly true for the Mission Compound, which functioned as the central point for the Circle, for it included the Mission House, various boarding schools, the Mission Press, the Protestants’ graveyard and rooms for the ECB.</w:t>
      </w:r>
      <w:r w:rsidRPr="00440B9F">
        <w:rPr>
          <w:rStyle w:val="FootnoteReference"/>
          <w:rFonts w:ascii="Palatino Linotype" w:hAnsi="Palatino Linotype"/>
          <w:sz w:val="22"/>
          <w:szCs w:val="22"/>
        </w:rPr>
        <w:footnoteReference w:id="84"/>
      </w:r>
    </w:p>
    <w:p w:rsidR="00A15CD3" w:rsidRPr="00440B9F" w:rsidRDefault="00A15CD3" w:rsidP="001761FF">
      <w:pPr>
        <w:spacing w:after="0" w:line="360" w:lineRule="auto"/>
        <w:jc w:val="both"/>
        <w:rPr>
          <w:rFonts w:ascii="Palatino Linotype" w:hAnsi="Palatino Linotype"/>
          <w:sz w:val="22"/>
          <w:szCs w:val="22"/>
        </w:rPr>
      </w:pPr>
      <w:r w:rsidRPr="00440B9F">
        <w:rPr>
          <w:rFonts w:ascii="Palatino Linotype" w:hAnsi="Palatino Linotype"/>
          <w:sz w:val="22"/>
          <w:szCs w:val="22"/>
        </w:rPr>
        <w:tab/>
        <w:t xml:space="preserve">One hurdle for analysing both written and unwritten sources was the transliteration of Arabic words and names into Latin script. During the early to mid-nineteenth century this process remained unsystematised, so that the spelling of place names in Latin script varied. For example, the area in Beirut’s suburbs known as </w:t>
      </w:r>
      <w:r w:rsidRPr="00440B9F">
        <w:rPr>
          <w:rFonts w:ascii="Palatino Linotype" w:hAnsi="Palatino Linotype" w:cs="Arial"/>
          <w:bCs/>
          <w:i/>
          <w:sz w:val="22"/>
          <w:szCs w:val="22"/>
        </w:rPr>
        <w:t>Zoqāq el-Blā</w:t>
      </w:r>
      <w:r w:rsidRPr="00440B9F">
        <w:rPr>
          <w:rFonts w:ascii="KoufrUni" w:hAnsi="KoufrUni" w:cs="Arial"/>
          <w:i/>
          <w:sz w:val="22"/>
          <w:szCs w:val="22"/>
        </w:rPr>
        <w:t>ṭ</w:t>
      </w:r>
      <w:r w:rsidRPr="00440B9F">
        <w:rPr>
          <w:rFonts w:ascii="Palatino Linotype" w:hAnsi="Palatino Linotype"/>
          <w:sz w:val="22"/>
          <w:szCs w:val="22"/>
        </w:rPr>
        <w:t xml:space="preserve"> was also written as </w:t>
      </w:r>
      <w:r w:rsidRPr="00440B9F">
        <w:rPr>
          <w:rFonts w:ascii="Palatino Linotype" w:hAnsi="Palatino Linotype"/>
          <w:bCs/>
          <w:i/>
          <w:sz w:val="22"/>
          <w:szCs w:val="22"/>
        </w:rPr>
        <w:t>Zokak el-Blat</w:t>
      </w:r>
      <w:r w:rsidRPr="00440B9F">
        <w:rPr>
          <w:rFonts w:ascii="Palatino Linotype" w:hAnsi="Palatino Linotype"/>
          <w:sz w:val="22"/>
          <w:szCs w:val="22"/>
        </w:rPr>
        <w:t xml:space="preserve">. In an effort to simplify these complications, I follow the transliteration system used by the </w:t>
      </w:r>
      <w:r w:rsidRPr="00440B9F">
        <w:rPr>
          <w:rFonts w:ascii="Palatino Linotype" w:hAnsi="Palatino Linotype"/>
          <w:i/>
          <w:sz w:val="22"/>
          <w:szCs w:val="22"/>
        </w:rPr>
        <w:t>International Journal of Middle East Studies</w:t>
      </w:r>
      <w:r w:rsidRPr="00440B9F">
        <w:rPr>
          <w:rFonts w:ascii="Palatino Linotype" w:hAnsi="Palatino Linotype"/>
          <w:sz w:val="22"/>
          <w:szCs w:val="22"/>
        </w:rPr>
        <w:t>, and employ the commonly accepted English spelling for popular place names, such as Beirut, Sidon and Tyre. For other locations, I use the spellings promoted by Lebanon’s Ministry of Tourism.</w:t>
      </w:r>
      <w:r w:rsidRPr="00440B9F">
        <w:rPr>
          <w:rFonts w:ascii="Palatino Linotype" w:hAnsi="Palatino Linotype"/>
          <w:sz w:val="22"/>
          <w:szCs w:val="22"/>
          <w:vertAlign w:val="superscript"/>
        </w:rPr>
        <w:footnoteReference w:id="85"/>
      </w:r>
      <w:r w:rsidRPr="00440B9F">
        <w:rPr>
          <w:rFonts w:ascii="Palatino Linotype" w:hAnsi="Palatino Linotype"/>
          <w:sz w:val="22"/>
          <w:szCs w:val="22"/>
        </w:rPr>
        <w:t xml:space="preserve"> Personal appellations are also difficult to follow, for in addition to deciphering previous systems of transliteration, changes in personal status, which resulted from marriage, death and the birth of children, often prompted a change of name. These were not always noted or explained within the ABCFM records. For example, Susan Wortabet’s first name was also written as Sardas and Susanna, while her surname changed from Lafloufy, her maiden name, to Wortabet, the surname given to her first husband, to Fuaz, the surname of her second husband. Until her remarriage to Elias Fuaz however, Susan was often referred to by the ABCFM as ‘the widow of Wortabet’. In other cases, individuals were identified by their popular appellations, such as ‘Im Mouchair’ or ‘Abu Beshera’ without contextualising these familial references.</w:t>
      </w:r>
      <w:r w:rsidRPr="00440B9F">
        <w:rPr>
          <w:rFonts w:ascii="Palatino Linotype" w:hAnsi="Palatino Linotype"/>
          <w:sz w:val="22"/>
          <w:szCs w:val="22"/>
          <w:vertAlign w:val="superscript"/>
        </w:rPr>
        <w:footnoteReference w:id="86"/>
      </w:r>
      <w:r w:rsidRPr="00440B9F">
        <w:rPr>
          <w:rFonts w:ascii="Palatino Linotype" w:hAnsi="Palatino Linotype"/>
          <w:sz w:val="22"/>
          <w:szCs w:val="22"/>
        </w:rPr>
        <w:t xml:space="preserve"> As a result, I use commonly accepted English spelling of personal names, such as Butrus al-Bustani, the spelling employed by an individual if they have published works, such as Assaad Kayat and Mikhayil Mishaqa, or the most frequently found appellation for a person within the ABCFM sources. A list of these individuals and their familial references are found in Appendix I, II and III. The </w:t>
      </w:r>
      <w:r w:rsidRPr="00440B9F">
        <w:rPr>
          <w:rFonts w:ascii="Palatino Linotype" w:hAnsi="Palatino Linotype"/>
          <w:i/>
          <w:sz w:val="22"/>
          <w:szCs w:val="22"/>
        </w:rPr>
        <w:t>IJMES</w:t>
      </w:r>
      <w:r w:rsidRPr="00440B9F">
        <w:rPr>
          <w:rFonts w:ascii="Palatino Linotype" w:hAnsi="Palatino Linotype"/>
          <w:sz w:val="22"/>
          <w:szCs w:val="22"/>
        </w:rPr>
        <w:t xml:space="preserve"> transliteration system was also applied to the other Arabic and Ottoman-Turkish words that are found in this thesis. A glossary of these terms are found on pages xii to xv in the introduction. </w:t>
      </w:r>
    </w:p>
    <w:p w:rsidR="00A15CD3" w:rsidRPr="00440B9F" w:rsidRDefault="00A15CD3" w:rsidP="001761FF">
      <w:pPr>
        <w:spacing w:after="0" w:line="360" w:lineRule="auto"/>
        <w:jc w:val="both"/>
        <w:rPr>
          <w:rFonts w:ascii="Palatino Linotype" w:hAnsi="Palatino Linotype"/>
          <w:sz w:val="22"/>
          <w:szCs w:val="22"/>
        </w:rPr>
      </w:pPr>
      <w:r w:rsidRPr="00440B9F">
        <w:rPr>
          <w:rFonts w:ascii="Palatino Linotype" w:hAnsi="Palatino Linotype"/>
          <w:sz w:val="22"/>
          <w:szCs w:val="22"/>
        </w:rPr>
        <w:tab/>
        <w:t xml:space="preserve">Further clarification is needed to explain my use of other labels. I use the term </w:t>
      </w:r>
      <w:r w:rsidRPr="00440B9F">
        <w:rPr>
          <w:rFonts w:ascii="Palatino Linotype" w:eastAsia="Times New Roman" w:hAnsi="Palatino Linotype"/>
          <w:color w:val="000000"/>
          <w:sz w:val="22"/>
          <w:szCs w:val="22"/>
        </w:rPr>
        <w:t>‘Syria’ to describe the geographic location of the Protestant Circle, which, although focused primarily upon on the present-day state of Lebanon, occasionally included areas to the north, like Homs and Aleppo and to the south, like Jerusalem.</w:t>
      </w:r>
      <w:r w:rsidRPr="00440B9F">
        <w:rPr>
          <w:rFonts w:ascii="Palatino Linotype" w:eastAsia="Times New Roman" w:hAnsi="Palatino Linotype"/>
          <w:color w:val="000000"/>
          <w:sz w:val="22"/>
          <w:szCs w:val="22"/>
          <w:vertAlign w:val="superscript"/>
        </w:rPr>
        <w:footnoteReference w:id="87"/>
      </w:r>
      <w:r w:rsidRPr="00440B9F">
        <w:rPr>
          <w:rFonts w:ascii="Palatino Linotype" w:eastAsia="Times New Roman" w:hAnsi="Palatino Linotype"/>
          <w:color w:val="000000"/>
          <w:sz w:val="22"/>
          <w:szCs w:val="22"/>
        </w:rPr>
        <w:t xml:space="preserve"> This</w:t>
      </w:r>
      <w:r w:rsidRPr="00440B9F">
        <w:rPr>
          <w:rFonts w:ascii="Palatino Linotype" w:hAnsi="Palatino Linotype"/>
          <w:sz w:val="22"/>
          <w:szCs w:val="22"/>
        </w:rPr>
        <w:t xml:space="preserve"> corresponds to the Ottoman province known in Arabic as </w:t>
      </w:r>
      <w:r w:rsidRPr="00440B9F">
        <w:rPr>
          <w:rFonts w:ascii="Palatino Linotype" w:hAnsi="Palatino Linotype"/>
          <w:i/>
          <w:sz w:val="22"/>
          <w:szCs w:val="22"/>
        </w:rPr>
        <w:t>Bilād al-Shām</w:t>
      </w:r>
      <w:r w:rsidRPr="00440B9F">
        <w:rPr>
          <w:rFonts w:ascii="Palatino Linotype" w:hAnsi="Palatino Linotype"/>
          <w:sz w:val="22"/>
          <w:szCs w:val="22"/>
        </w:rPr>
        <w:t>, but lacks the Arabic term’s focus upon Damascus.</w:t>
      </w:r>
      <w:r w:rsidRPr="00440B9F">
        <w:rPr>
          <w:rStyle w:val="FootnoteReference"/>
          <w:rFonts w:ascii="Palatino Linotype" w:hAnsi="Palatino Linotype"/>
          <w:sz w:val="22"/>
          <w:szCs w:val="22"/>
        </w:rPr>
        <w:footnoteReference w:id="88"/>
      </w:r>
      <w:r w:rsidRPr="00440B9F">
        <w:rPr>
          <w:rFonts w:ascii="Palatino Linotype" w:hAnsi="Palatino Linotype"/>
          <w:sz w:val="22"/>
          <w:szCs w:val="22"/>
        </w:rPr>
        <w:t xml:space="preserve"> Rather, my use of Syria draws from the ABCFM missionaries’ application of this name to describe their work in the region. A number of different appellations, like the ‘Near East Station’, were sampled by the ABCFM before the title, the ‘Syrian Station’, was agreed upon.</w:t>
      </w:r>
      <w:r w:rsidRPr="00440B9F">
        <w:rPr>
          <w:rStyle w:val="FootnoteReference"/>
          <w:rFonts w:ascii="Palatino Linotype" w:hAnsi="Palatino Linotype"/>
          <w:sz w:val="22"/>
          <w:szCs w:val="22"/>
        </w:rPr>
        <w:footnoteReference w:id="89"/>
      </w:r>
      <w:r w:rsidRPr="00440B9F">
        <w:rPr>
          <w:rFonts w:ascii="Palatino Linotype" w:hAnsi="Palatino Linotype"/>
          <w:sz w:val="22"/>
          <w:szCs w:val="22"/>
        </w:rPr>
        <w:t xml:space="preserve"> This title distinguished the Beirut-focused community from others within the Middle East region, such as the ‘Western Asia Mission’ to the Armenians in present-day Turkey and the ‘Nestorian Mission’ or the ‘Mountain Nestorian Mission’ to Assyrian Christians in present-day Iran. Likewise, the phrase ‘Holy Land’ was gradually dropped by the ABCFM to distance their work from the English and Prussian missionaries in Palestine, especially after the establishment of the Anglican Bishopric of Jerusalem in 1841.</w:t>
      </w:r>
      <w:r w:rsidRPr="00440B9F">
        <w:rPr>
          <w:rStyle w:val="FootnoteReference"/>
          <w:rFonts w:ascii="Palatino Linotype" w:hAnsi="Palatino Linotype"/>
          <w:sz w:val="22"/>
          <w:szCs w:val="22"/>
        </w:rPr>
        <w:footnoteReference w:id="90"/>
      </w:r>
      <w:r w:rsidRPr="00440B9F">
        <w:rPr>
          <w:rFonts w:ascii="Palatino Linotype" w:hAnsi="Palatino Linotype"/>
          <w:sz w:val="22"/>
          <w:szCs w:val="22"/>
        </w:rPr>
        <w:t xml:space="preserve"> The label Syria also distinguishes the ABCFM’s work from the activities of the Free Church of Scotland, whose network of ‘Lebanon Schools’ on Mount Lebanon began in 1847, but was regarded as different from the ABCFM’s activities.</w:t>
      </w:r>
      <w:r w:rsidRPr="00440B9F">
        <w:rPr>
          <w:rFonts w:ascii="Palatino Linotype" w:hAnsi="Palatino Linotype"/>
          <w:sz w:val="22"/>
          <w:szCs w:val="22"/>
          <w:vertAlign w:val="superscript"/>
        </w:rPr>
        <w:footnoteReference w:id="91"/>
      </w:r>
      <w:r w:rsidRPr="00440B9F">
        <w:rPr>
          <w:rFonts w:ascii="Palatino Linotype" w:hAnsi="Palatino Linotype"/>
          <w:sz w:val="22"/>
          <w:szCs w:val="22"/>
        </w:rPr>
        <w:t xml:space="preserve"> Syria was also employed by the Protestant residents of this area.</w:t>
      </w:r>
      <w:r w:rsidRPr="00440B9F">
        <w:rPr>
          <w:rStyle w:val="FootnoteReference"/>
          <w:rFonts w:ascii="Palatino Linotype" w:hAnsi="Palatino Linotype"/>
          <w:sz w:val="22"/>
          <w:szCs w:val="22"/>
        </w:rPr>
        <w:footnoteReference w:id="92"/>
      </w:r>
      <w:r w:rsidRPr="00440B9F">
        <w:rPr>
          <w:rFonts w:ascii="Palatino Linotype" w:hAnsi="Palatino Linotype"/>
          <w:sz w:val="22"/>
          <w:szCs w:val="22"/>
        </w:rPr>
        <w:t xml:space="preserve"> For example, the </w:t>
      </w:r>
      <w:r w:rsidRPr="00440B9F">
        <w:rPr>
          <w:rFonts w:ascii="Palatino Linotype" w:hAnsi="Palatino Linotype"/>
          <w:bCs/>
          <w:i/>
          <w:sz w:val="22"/>
          <w:szCs w:val="22"/>
        </w:rPr>
        <w:t>al-Jam‛iyya al-Sūriyya li-Iktisāb al-‛Ulūm wa al-Funūn</w:t>
      </w:r>
      <w:r w:rsidRPr="00440B9F">
        <w:rPr>
          <w:rFonts w:ascii="Palatino Linotype" w:hAnsi="Palatino Linotype"/>
          <w:b/>
          <w:bCs/>
          <w:i/>
          <w:sz w:val="22"/>
          <w:szCs w:val="22"/>
        </w:rPr>
        <w:t xml:space="preserve"> </w:t>
      </w:r>
      <w:r w:rsidRPr="00440B9F">
        <w:rPr>
          <w:rFonts w:ascii="Palatino Linotype" w:hAnsi="Palatino Linotype"/>
          <w:sz w:val="22"/>
          <w:szCs w:val="22"/>
        </w:rPr>
        <w:t>(</w:t>
      </w:r>
      <w:r w:rsidRPr="00440B9F">
        <w:rPr>
          <w:rFonts w:ascii="Palatino Linotype" w:hAnsi="Palatino Linotype"/>
          <w:bCs/>
          <w:sz w:val="22"/>
          <w:szCs w:val="22"/>
        </w:rPr>
        <w:t>The Syrian Society for the Acquisition of Sciences and Arts)</w:t>
      </w:r>
      <w:r w:rsidRPr="00440B9F">
        <w:rPr>
          <w:rFonts w:ascii="Palatino Linotype" w:hAnsi="Palatino Linotype"/>
          <w:sz w:val="22"/>
          <w:szCs w:val="22"/>
        </w:rPr>
        <w:t xml:space="preserve"> was found in 1847, while Gregory Wortabet explored </w:t>
      </w:r>
      <w:r w:rsidRPr="00440B9F">
        <w:rPr>
          <w:rFonts w:ascii="Palatino Linotype" w:hAnsi="Palatino Linotype"/>
          <w:i/>
          <w:sz w:val="22"/>
          <w:szCs w:val="22"/>
        </w:rPr>
        <w:t>Syria, and the Syrians</w:t>
      </w:r>
      <w:r w:rsidRPr="00440B9F">
        <w:rPr>
          <w:rFonts w:ascii="Palatino Linotype" w:hAnsi="Palatino Linotype"/>
          <w:sz w:val="22"/>
          <w:szCs w:val="22"/>
        </w:rPr>
        <w:t xml:space="preserve"> for English reading audiences just as his brother, John, conducted </w:t>
      </w:r>
      <w:r w:rsidRPr="00440B9F">
        <w:rPr>
          <w:rFonts w:ascii="Palatino Linotype" w:hAnsi="Palatino Linotype"/>
          <w:i/>
          <w:sz w:val="22"/>
          <w:szCs w:val="22"/>
        </w:rPr>
        <w:t xml:space="preserve">Researches into the Religions of Syria </w:t>
      </w:r>
      <w:r w:rsidRPr="00440B9F">
        <w:rPr>
          <w:rFonts w:ascii="Palatino Linotype" w:hAnsi="Palatino Linotype"/>
          <w:sz w:val="22"/>
          <w:szCs w:val="22"/>
        </w:rPr>
        <w:t>during the late 1850s.</w:t>
      </w:r>
      <w:r w:rsidRPr="00440B9F">
        <w:rPr>
          <w:rStyle w:val="FootnoteReference"/>
          <w:rFonts w:ascii="Palatino Linotype" w:hAnsi="Palatino Linotype"/>
          <w:sz w:val="22"/>
          <w:szCs w:val="22"/>
        </w:rPr>
        <w:footnoteReference w:id="93"/>
      </w:r>
      <w:r w:rsidRPr="00440B9F">
        <w:rPr>
          <w:rFonts w:ascii="Palatino Linotype" w:hAnsi="Palatino Linotype"/>
          <w:sz w:val="22"/>
          <w:szCs w:val="22"/>
        </w:rPr>
        <w:t xml:space="preserve"> </w:t>
      </w:r>
    </w:p>
    <w:p w:rsidR="00A15CD3" w:rsidRPr="00440B9F" w:rsidRDefault="00A15CD3" w:rsidP="001761FF">
      <w:pPr>
        <w:spacing w:after="0" w:line="360" w:lineRule="auto"/>
        <w:jc w:val="both"/>
        <w:rPr>
          <w:rFonts w:ascii="Palatino Linotype" w:hAnsi="Palatino Linotype"/>
          <w:sz w:val="22"/>
          <w:szCs w:val="22"/>
        </w:rPr>
      </w:pPr>
      <w:r w:rsidRPr="00440B9F">
        <w:rPr>
          <w:rFonts w:ascii="Palatino Linotype" w:hAnsi="Palatino Linotype"/>
          <w:sz w:val="22"/>
          <w:szCs w:val="22"/>
        </w:rPr>
        <w:tab/>
        <w:t>As a result, I use Syrian, instead of Arab or Lebanese, to describe the residents of this region, both Muslims and Christians, including Armenians. The term ‘Arab’ was used by the ABCFM to describe a particular race and culture, and was occasionally applied to the Syrian Protestants.</w:t>
      </w:r>
      <w:r w:rsidRPr="00440B9F">
        <w:rPr>
          <w:rFonts w:ascii="Palatino Linotype" w:hAnsi="Palatino Linotype"/>
          <w:sz w:val="22"/>
          <w:szCs w:val="22"/>
          <w:vertAlign w:val="superscript"/>
        </w:rPr>
        <w:footnoteReference w:id="94"/>
      </w:r>
      <w:r w:rsidRPr="00440B9F">
        <w:rPr>
          <w:rFonts w:ascii="Palatino Linotype" w:hAnsi="Palatino Linotype"/>
          <w:sz w:val="22"/>
          <w:szCs w:val="22"/>
        </w:rPr>
        <w:t xml:space="preserve"> However, the ABCFM also used Arab as a pejorative label for the ‘uncivilized’ Bedouins and farmers living in the region.</w:t>
      </w:r>
      <w:r w:rsidRPr="00440B9F">
        <w:rPr>
          <w:rStyle w:val="FootnoteReference"/>
          <w:rFonts w:ascii="Palatino Linotype" w:hAnsi="Palatino Linotype"/>
          <w:sz w:val="22"/>
          <w:szCs w:val="22"/>
        </w:rPr>
        <w:footnoteReference w:id="95"/>
      </w:r>
      <w:r w:rsidRPr="00440B9F">
        <w:rPr>
          <w:rFonts w:ascii="Palatino Linotype" w:hAnsi="Palatino Linotype"/>
          <w:sz w:val="22"/>
          <w:szCs w:val="22"/>
        </w:rPr>
        <w:t xml:space="preserve"> It is because of this negative association that I do not use the term Arab to describe the Protestant community. </w:t>
      </w:r>
    </w:p>
    <w:p w:rsidR="00A15CD3" w:rsidRPr="00440B9F" w:rsidRDefault="00A15CD3" w:rsidP="001761FF">
      <w:pPr>
        <w:spacing w:after="0" w:line="360" w:lineRule="auto"/>
        <w:jc w:val="both"/>
        <w:rPr>
          <w:rFonts w:ascii="Arial" w:hAnsi="Arial" w:cs="Arial"/>
          <w:i/>
          <w:smallCaps/>
          <w:sz w:val="22"/>
          <w:szCs w:val="22"/>
        </w:rPr>
      </w:pPr>
    </w:p>
    <w:p w:rsidR="00A15CD3" w:rsidRPr="00440B9F" w:rsidRDefault="00A15CD3" w:rsidP="001761FF">
      <w:pPr>
        <w:spacing w:after="0" w:line="360" w:lineRule="auto"/>
        <w:jc w:val="both"/>
        <w:rPr>
          <w:rFonts w:ascii="Arial" w:hAnsi="Arial" w:cs="Arial"/>
          <w:i/>
          <w:smallCaps/>
          <w:sz w:val="22"/>
          <w:szCs w:val="22"/>
        </w:rPr>
      </w:pPr>
    </w:p>
    <w:p w:rsidR="00A15CD3" w:rsidRPr="00440B9F" w:rsidRDefault="00A15CD3" w:rsidP="001761FF">
      <w:pPr>
        <w:spacing w:after="0" w:line="360" w:lineRule="auto"/>
        <w:jc w:val="both"/>
        <w:rPr>
          <w:rFonts w:ascii="Arial" w:hAnsi="Arial" w:cs="Arial"/>
          <w:i/>
          <w:smallCaps/>
          <w:sz w:val="22"/>
          <w:szCs w:val="22"/>
        </w:rPr>
      </w:pPr>
    </w:p>
    <w:p w:rsidR="00A15CD3" w:rsidRPr="00440B9F" w:rsidRDefault="00A15CD3" w:rsidP="001761FF">
      <w:pPr>
        <w:spacing w:after="0" w:line="360" w:lineRule="auto"/>
        <w:jc w:val="center"/>
        <w:rPr>
          <w:rFonts w:ascii="Arial" w:hAnsi="Arial" w:cs="Arial"/>
          <w:smallCaps/>
          <w:sz w:val="22"/>
          <w:szCs w:val="22"/>
        </w:rPr>
      </w:pPr>
      <w:r w:rsidRPr="00440B9F">
        <w:rPr>
          <w:rFonts w:ascii="Arial" w:hAnsi="Arial" w:cs="Arial"/>
          <w:smallCaps/>
          <w:sz w:val="22"/>
          <w:szCs w:val="22"/>
        </w:rPr>
        <w:t>Outline of Thesis</w:t>
      </w:r>
    </w:p>
    <w:p w:rsidR="00A15CD3" w:rsidRPr="00440B9F" w:rsidRDefault="00A15CD3" w:rsidP="001761FF">
      <w:pPr>
        <w:spacing w:after="0" w:line="360" w:lineRule="auto"/>
        <w:jc w:val="both"/>
        <w:rPr>
          <w:rFonts w:ascii="Palatino Linotype" w:hAnsi="Palatino Linotype"/>
          <w:sz w:val="22"/>
          <w:szCs w:val="22"/>
        </w:rPr>
      </w:pPr>
      <w:r w:rsidRPr="00440B9F">
        <w:rPr>
          <w:rFonts w:ascii="Palatino Linotype" w:hAnsi="Palatino Linotype"/>
          <w:sz w:val="22"/>
          <w:szCs w:val="22"/>
        </w:rPr>
        <w:tab/>
      </w:r>
    </w:p>
    <w:p w:rsidR="00A15CD3" w:rsidRPr="00440B9F" w:rsidRDefault="00A15CD3" w:rsidP="001761FF">
      <w:pPr>
        <w:spacing w:after="0" w:line="360" w:lineRule="auto"/>
        <w:jc w:val="both"/>
        <w:rPr>
          <w:rFonts w:ascii="Palatino Linotype" w:hAnsi="Palatino Linotype"/>
          <w:sz w:val="22"/>
          <w:szCs w:val="22"/>
        </w:rPr>
      </w:pPr>
      <w:r w:rsidRPr="00440B9F">
        <w:rPr>
          <w:rFonts w:ascii="Palatino Linotype" w:hAnsi="Palatino Linotype"/>
          <w:sz w:val="22"/>
          <w:szCs w:val="22"/>
        </w:rPr>
        <w:t xml:space="preserve">The structure of this thesis represents different angles to view and analyse the ABCFM’s missionary encounter in Ottoman Syria and the development of the Protestant community. Chapters one and two present the historical contexts for the Protestant Circle. The ‘American field’ during the early to mid-nineteenth century is the focus of chapter one. In this chapter, I trace the maturation of a distinct American identity through the emergence of a normative American identity, the changes unfolding within American Protestantism, the complexities of the United States’ international standing, and the development of Americans’ perceptions of the eastern Mediterranean and its inhabitants. This material explains the development of the ABCFM within the Antebellum United States and the desire of some to serve as missionaries to Ottoman Syria. This chapter thus presents the culture and theology that was embodied by the ABCFM missionaries, which was eventually conveyed to and negotiated by Syrians. </w:t>
      </w:r>
    </w:p>
    <w:p w:rsidR="00A15CD3" w:rsidRPr="00440B9F" w:rsidRDefault="00A15CD3" w:rsidP="001761FF">
      <w:pPr>
        <w:spacing w:after="0" w:line="360" w:lineRule="auto"/>
        <w:jc w:val="both"/>
        <w:rPr>
          <w:rFonts w:ascii="Palatino Linotype" w:hAnsi="Palatino Linotype"/>
          <w:sz w:val="22"/>
          <w:szCs w:val="22"/>
        </w:rPr>
      </w:pPr>
      <w:r w:rsidRPr="00440B9F">
        <w:rPr>
          <w:rFonts w:ascii="Palatino Linotype" w:hAnsi="Palatino Linotype"/>
          <w:sz w:val="22"/>
          <w:szCs w:val="22"/>
        </w:rPr>
        <w:tab/>
        <w:t xml:space="preserve">In a similar manner, chapter two explores the ‘Syrian field’ from the late eighteenth until the mid-nineteenth centuries. This chapter reviews the reconfigurations of political, economic and religious structures of Ottoman Syria in order to understand the development of Beirut as the primary port city within the region. The chapter also examines Syrian perceptions of the United States and Americans as a new foreign group. This material situates Syrians’ relationships with the ABCFM missionaries and demonstrates that the Protestant community was one group within a very dynamic environment. </w:t>
      </w:r>
    </w:p>
    <w:p w:rsidR="00A15CD3" w:rsidRPr="00440B9F" w:rsidRDefault="00A15CD3" w:rsidP="001761FF">
      <w:pPr>
        <w:spacing w:after="0" w:line="360" w:lineRule="auto"/>
        <w:jc w:val="both"/>
        <w:rPr>
          <w:rFonts w:ascii="Palatino Linotype" w:hAnsi="Palatino Linotype"/>
          <w:sz w:val="22"/>
          <w:szCs w:val="22"/>
        </w:rPr>
      </w:pPr>
      <w:r w:rsidRPr="00440B9F">
        <w:rPr>
          <w:rFonts w:ascii="Palatino Linotype" w:hAnsi="Palatino Linotype"/>
          <w:sz w:val="22"/>
          <w:szCs w:val="22"/>
        </w:rPr>
        <w:tab/>
        <w:t>Chapters three, four and five narrows the focus of this analysis onto the Protestant Circle. The individuals who composed the Protestant Circle, their locations of residency and definitions of capital are introduced in chapter three. This chapter assesses the structural inequalities that emerged from the ABCFM missionaries’ attempt to regulate and control the terms of Protestant social, cultural and religious capital. It concludes with a review of the contestations presented by some Protestants to this structuring and the ABCFM’s definitions of capital.</w:t>
      </w:r>
    </w:p>
    <w:p w:rsidR="00A15CD3" w:rsidRPr="00440B9F" w:rsidRDefault="00A15CD3" w:rsidP="001761FF">
      <w:pPr>
        <w:spacing w:after="0" w:line="360" w:lineRule="auto"/>
        <w:jc w:val="both"/>
        <w:rPr>
          <w:rFonts w:ascii="Palatino Linotype" w:hAnsi="Palatino Linotype"/>
          <w:sz w:val="22"/>
          <w:szCs w:val="22"/>
        </w:rPr>
      </w:pPr>
      <w:r w:rsidRPr="00440B9F">
        <w:rPr>
          <w:rFonts w:ascii="Palatino Linotype" w:hAnsi="Palatino Linotype"/>
          <w:sz w:val="22"/>
          <w:szCs w:val="22"/>
        </w:rPr>
        <w:tab/>
        <w:t>Women and the Protestants’ gendering of womanhood are the topics of chapter four. This chapter maintains that gender is socially constructed and argues that the terms for Protestant womanhood emerged through the interactions amongst the missionaries and Syrian Protestants, both men and women, which changed over time and took into account the differences amongst women, such as race, marriage status and age. The first section outlines the idealised roles for women, while the second section examines the networks that emerged amongst women, which functioned as the primary channels through which women learned their appropriate roles. The final section investigates the activities performed by women to fulfil their associated role, which, as a result, emphasised the differences amongst women.</w:t>
      </w:r>
    </w:p>
    <w:p w:rsidR="00A15CD3" w:rsidRPr="00440B9F" w:rsidRDefault="00A15CD3" w:rsidP="001761FF">
      <w:pPr>
        <w:spacing w:after="0" w:line="360" w:lineRule="auto"/>
        <w:jc w:val="both"/>
        <w:rPr>
          <w:rFonts w:ascii="Palatino Linotype" w:hAnsi="Palatino Linotype"/>
          <w:sz w:val="22"/>
          <w:szCs w:val="22"/>
        </w:rPr>
      </w:pPr>
      <w:r w:rsidRPr="00440B9F">
        <w:rPr>
          <w:rFonts w:ascii="Palatino Linotype" w:hAnsi="Palatino Linotype"/>
          <w:sz w:val="22"/>
          <w:szCs w:val="22"/>
        </w:rPr>
        <w:tab/>
        <w:t>Chapter five explores Protestant mothering as a sub-characteristic of Protestant womanhood. This chapter investigates the different views on mothering held by the members of the Protestant Circle and the ways that women negotiated these different definitions. The first section outlines the Protestants’ definition of the child, which functioned as the object to be mothered. This is followed by an examination of the different relationships that developed amongst mothers and children within Protestant families, which were based upon both biological and fictive ties of kinship. The last section explores the struggles amongst Protestants to define proper mothering and how this affected relations within the Circle. Baptism is presented as a specific site of tension, where divergent views of infant salvation and maternal responsibilities were negotiated, which affected women’s mothering activities and how they were judged by others. In doing so, this chapter illuminates that mothering was a complex relationship that not only involved a mother and her biological child, but the entire community.</w:t>
      </w:r>
    </w:p>
    <w:p w:rsidR="00A15CD3" w:rsidRPr="00440B9F" w:rsidRDefault="00A15CD3" w:rsidP="001761FF">
      <w:pPr>
        <w:spacing w:after="0" w:line="360" w:lineRule="auto"/>
        <w:jc w:val="both"/>
        <w:rPr>
          <w:rFonts w:ascii="Palatino Linotype" w:hAnsi="Palatino Linotype"/>
          <w:sz w:val="22"/>
          <w:szCs w:val="22"/>
        </w:rPr>
        <w:sectPr w:rsidR="00A15CD3" w:rsidRPr="00440B9F" w:rsidSect="004B563F">
          <w:footerReference w:type="default" r:id="rId8"/>
          <w:footnotePr>
            <w:numRestart w:val="eachSect"/>
          </w:footnotePr>
          <w:pgSz w:w="12240" w:h="15840"/>
          <w:pgMar w:top="1138" w:right="1418" w:bottom="2268" w:left="2268" w:header="720" w:footer="720" w:gutter="0"/>
          <w:pgNumType w:start="1"/>
          <w:cols w:space="720"/>
          <w:docGrid w:linePitch="360"/>
        </w:sectPr>
      </w:pPr>
      <w:r w:rsidRPr="00440B9F">
        <w:rPr>
          <w:rFonts w:ascii="Palatino Linotype" w:hAnsi="Palatino Linotype"/>
          <w:sz w:val="22"/>
          <w:szCs w:val="22"/>
        </w:rPr>
        <w:tab/>
        <w:t xml:space="preserve">The material presented in these chapters demonstrates that from the 1823 to 1860, the centrality of the ABCFM male missionaries in the Protestant Circle was emphasised by different social relations and interactions. However, subversions and challenges to this social structuring emerged as people engaged with individuals and ideas from outside the community and in reaction to the changes that developed during this period. Although the focus of this thesis is to delineate the culture of Protestantism in Ottoman Syria, such tensions and subversions are not overlooked, nor is it forgotten that the community fragmented by 1860. Thus, it is through recognising the complexities of this missionary encounter and situating the community within its dynamic historical context that the history of the Protestant Circle is fully understood. </w:t>
      </w:r>
    </w:p>
    <w:p w:rsidR="006B2B0F" w:rsidRPr="00800300" w:rsidRDefault="006B2B0F" w:rsidP="00023EDA">
      <w:pPr>
        <w:spacing w:after="0" w:line="360" w:lineRule="auto"/>
        <w:jc w:val="both"/>
        <w:rPr>
          <w:rFonts w:ascii="Palatino Linotype" w:hAnsi="Palatino Linotype"/>
          <w:sz w:val="22"/>
          <w:szCs w:val="22"/>
        </w:rPr>
      </w:pPr>
    </w:p>
    <w:sectPr w:rsidR="006B2B0F" w:rsidRPr="00800300" w:rsidSect="004B563F">
      <w:footerReference w:type="default" r:id="rId9"/>
      <w:pgSz w:w="12240" w:h="15840"/>
      <w:pgMar w:top="1138" w:right="1418" w:bottom="2268" w:left="2268" w:header="720" w:footer="72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19E1" w:rsidRDefault="003919E1" w:rsidP="002E608A">
      <w:pPr>
        <w:spacing w:after="0" w:line="240" w:lineRule="auto"/>
      </w:pPr>
      <w:r>
        <w:separator/>
      </w:r>
    </w:p>
  </w:endnote>
  <w:endnote w:type="continuationSeparator" w:id="1">
    <w:p w:rsidR="003919E1" w:rsidRDefault="003919E1" w:rsidP="002E60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lbany">
    <w:altName w:val="Arial"/>
    <w:charset w:val="00"/>
    <w:family w:val="swiss"/>
    <w:pitch w:val="variable"/>
    <w:sig w:usb0="00000000" w:usb1="00000000" w:usb2="00000000" w:usb3="00000000" w:csb0="00000000" w:csb1="00000000"/>
  </w:font>
  <w:font w:name="HG Mincho Light J">
    <w:altName w:val="Times New Roman"/>
    <w:charset w:val="00"/>
    <w:family w:val="auto"/>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Palatino Linotype">
    <w:panose1 w:val="02040502050505030304"/>
    <w:charset w:val="00"/>
    <w:family w:val="roman"/>
    <w:pitch w:val="variable"/>
    <w:sig w:usb0="E0000387" w:usb1="40000013" w:usb2="00000000" w:usb3="00000000" w:csb0="0000019F" w:csb1="00000000"/>
  </w:font>
  <w:font w:name="KoufrUni">
    <w:panose1 w:val="02000603080000020003"/>
    <w:charset w:val="00"/>
    <w:family w:val="auto"/>
    <w:pitch w:val="variable"/>
    <w:sig w:usb0="A00000FF" w:usb1="00000000" w:usb2="00000000" w:usb3="00000000" w:csb0="0000001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5CD3" w:rsidRDefault="00A15CD3">
    <w:pPr>
      <w:pStyle w:val="Footer"/>
      <w:jc w:val="right"/>
    </w:pPr>
    <w:fldSimple w:instr=" PAGE   \* MERGEFORMAT ">
      <w:r>
        <w:rPr>
          <w:noProof/>
        </w:rPr>
        <w:t>30</w:t>
      </w:r>
    </w:fldSimple>
  </w:p>
  <w:p w:rsidR="00A15CD3" w:rsidRDefault="00A15CD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734D" w:rsidRDefault="00C9341A">
    <w:pPr>
      <w:pStyle w:val="Footer"/>
      <w:jc w:val="right"/>
    </w:pPr>
    <w:fldSimple w:instr=" PAGE   \* MERGEFORMAT ">
      <w:r w:rsidR="00E12695">
        <w:rPr>
          <w:noProof/>
        </w:rPr>
        <w:t>1</w:t>
      </w:r>
    </w:fldSimple>
  </w:p>
  <w:p w:rsidR="00543FCD" w:rsidRDefault="00543FC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19E1" w:rsidRDefault="003919E1" w:rsidP="002E608A">
      <w:pPr>
        <w:spacing w:after="0" w:line="240" w:lineRule="auto"/>
      </w:pPr>
      <w:r>
        <w:separator/>
      </w:r>
    </w:p>
  </w:footnote>
  <w:footnote w:type="continuationSeparator" w:id="1">
    <w:p w:rsidR="003919E1" w:rsidRDefault="003919E1" w:rsidP="002E608A">
      <w:pPr>
        <w:spacing w:after="0" w:line="240" w:lineRule="auto"/>
      </w:pPr>
      <w:r>
        <w:continuationSeparator/>
      </w:r>
    </w:p>
  </w:footnote>
  <w:footnote w:id="2">
    <w:p w:rsidR="00A15CD3" w:rsidRPr="0097161D" w:rsidRDefault="00A15CD3" w:rsidP="001761FF">
      <w:pPr>
        <w:pStyle w:val="FootnoteText"/>
        <w:ind w:left="90" w:hanging="90"/>
        <w:jc w:val="both"/>
        <w:rPr>
          <w:rFonts w:ascii="Palatino Linotype" w:hAnsi="Palatino Linotype"/>
        </w:rPr>
      </w:pPr>
      <w:r w:rsidRPr="0097161D">
        <w:rPr>
          <w:rStyle w:val="FootnoteReference"/>
          <w:rFonts w:ascii="Palatino Linotype" w:hAnsi="Palatino Linotype"/>
        </w:rPr>
        <w:footnoteRef/>
      </w:r>
      <w:r w:rsidRPr="0097161D">
        <w:rPr>
          <w:rFonts w:ascii="Palatino Linotype" w:hAnsi="Palatino Linotype"/>
        </w:rPr>
        <w:t xml:space="preserve"> British and Foreign Bible Society, ‘Application from Dr. John Wortabet’, </w:t>
      </w:r>
      <w:r w:rsidRPr="0097161D">
        <w:rPr>
          <w:rFonts w:ascii="Palatino Linotype" w:hAnsi="Palatino Linotype"/>
          <w:i/>
        </w:rPr>
        <w:t>The United Presbyterian Magazine,</w:t>
      </w:r>
      <w:r w:rsidRPr="00470B47">
        <w:rPr>
          <w:rFonts w:ascii="Palatino Linotype" w:hAnsi="Palatino Linotype"/>
        </w:rPr>
        <w:t xml:space="preserve"> IV</w:t>
      </w:r>
      <w:r>
        <w:rPr>
          <w:rFonts w:ascii="Palatino Linotype" w:hAnsi="Palatino Linotype"/>
        </w:rPr>
        <w:t xml:space="preserve"> (Edinburgh</w:t>
      </w:r>
      <w:r w:rsidRPr="0097161D">
        <w:rPr>
          <w:rFonts w:ascii="Palatino Linotype" w:hAnsi="Palatino Linotype"/>
        </w:rPr>
        <w:t xml:space="preserve">: </w:t>
      </w:r>
      <w:r w:rsidRPr="0097161D">
        <w:rPr>
          <w:rFonts w:ascii="Palatino Linotype" w:hAnsi="Palatino Linotype"/>
          <w:lang w:val="en-US"/>
        </w:rPr>
        <w:t xml:space="preserve">William Oliphant and Co., </w:t>
      </w:r>
      <w:r w:rsidRPr="0097161D">
        <w:rPr>
          <w:rFonts w:ascii="Palatino Linotype" w:hAnsi="Palatino Linotype"/>
        </w:rPr>
        <w:t xml:space="preserve">1860): 326. </w:t>
      </w:r>
    </w:p>
  </w:footnote>
  <w:footnote w:id="3">
    <w:p w:rsidR="00A15CD3" w:rsidRPr="0097161D" w:rsidRDefault="00A15CD3" w:rsidP="001761FF">
      <w:pPr>
        <w:pStyle w:val="FootnoteText"/>
        <w:ind w:left="90" w:hanging="90"/>
        <w:jc w:val="both"/>
        <w:rPr>
          <w:rFonts w:ascii="Palatino Linotype" w:hAnsi="Palatino Linotype"/>
        </w:rPr>
      </w:pPr>
      <w:r w:rsidRPr="0097161D">
        <w:rPr>
          <w:rStyle w:val="FootnoteReference"/>
          <w:rFonts w:ascii="Palatino Linotype" w:hAnsi="Palatino Linotype"/>
        </w:rPr>
        <w:footnoteRef/>
      </w:r>
      <w:r w:rsidRPr="0097161D">
        <w:rPr>
          <w:rFonts w:ascii="Palatino Linotype" w:hAnsi="Palatino Linotype"/>
        </w:rPr>
        <w:t xml:space="preserve"> </w:t>
      </w:r>
      <w:r w:rsidRPr="0097161D">
        <w:rPr>
          <w:rFonts w:ascii="Palatino Linotype" w:hAnsi="Palatino Linotype"/>
          <w:lang w:val="en-US"/>
        </w:rPr>
        <w:t xml:space="preserve">Jessup, </w:t>
      </w:r>
      <w:r w:rsidRPr="0097161D">
        <w:rPr>
          <w:rFonts w:ascii="Palatino Linotype" w:hAnsi="Palatino Linotype"/>
          <w:i/>
          <w:lang w:val="en-US"/>
        </w:rPr>
        <w:t>WA:</w:t>
      </w:r>
      <w:r w:rsidRPr="0097161D">
        <w:rPr>
          <w:rFonts w:ascii="Palatino Linotype" w:hAnsi="Palatino Linotype"/>
        </w:rPr>
        <w:t xml:space="preserve"> 63.</w:t>
      </w:r>
    </w:p>
  </w:footnote>
  <w:footnote w:id="4">
    <w:p w:rsidR="00A15CD3" w:rsidRPr="0097161D" w:rsidRDefault="00A15CD3" w:rsidP="001761FF">
      <w:pPr>
        <w:pStyle w:val="FootnoteText"/>
        <w:ind w:left="90" w:hanging="90"/>
        <w:jc w:val="both"/>
        <w:rPr>
          <w:rFonts w:ascii="Palatino Linotype" w:hAnsi="Palatino Linotype"/>
        </w:rPr>
      </w:pPr>
      <w:r w:rsidRPr="0097161D">
        <w:rPr>
          <w:rStyle w:val="FootnoteReference"/>
          <w:rFonts w:ascii="Palatino Linotype" w:hAnsi="Palatino Linotype"/>
        </w:rPr>
        <w:footnoteRef/>
      </w:r>
      <w:r w:rsidRPr="0097161D">
        <w:rPr>
          <w:rFonts w:ascii="Palatino Linotype" w:hAnsi="Palatino Linotype"/>
        </w:rPr>
        <w:t xml:space="preserve"> British and Foreign Bible Society, ‘Application from Dr. John Wortabet’: 326.</w:t>
      </w:r>
    </w:p>
  </w:footnote>
  <w:footnote w:id="5">
    <w:p w:rsidR="00A15CD3" w:rsidRPr="0097161D" w:rsidRDefault="00A15CD3" w:rsidP="001761FF">
      <w:pPr>
        <w:pStyle w:val="FootnoteText"/>
        <w:ind w:left="90" w:hanging="90"/>
        <w:jc w:val="both"/>
        <w:rPr>
          <w:rFonts w:ascii="Palatino Linotype" w:hAnsi="Palatino Linotype"/>
        </w:rPr>
      </w:pPr>
      <w:r w:rsidRPr="0097161D">
        <w:rPr>
          <w:rStyle w:val="FootnoteReference"/>
          <w:rFonts w:ascii="Palatino Linotype" w:hAnsi="Palatino Linotype"/>
        </w:rPr>
        <w:footnoteRef/>
      </w:r>
      <w:r w:rsidRPr="0097161D">
        <w:rPr>
          <w:rFonts w:ascii="Palatino Linotype" w:hAnsi="Palatino Linotype"/>
        </w:rPr>
        <w:t xml:space="preserve"> For information on Wortabet’s work for the UPC see Michael Marten, </w:t>
      </w:r>
      <w:r w:rsidRPr="0097161D">
        <w:rPr>
          <w:rFonts w:ascii="Palatino Linotype" w:hAnsi="Palatino Linotype"/>
          <w:i/>
        </w:rPr>
        <w:t>Attempting to Bring The Gospel Home: Scottish Presbyterian Churches’ Missionary Efforts to the Christian, Jews and Muslims of Palestine, 1839-1917</w:t>
      </w:r>
      <w:r>
        <w:rPr>
          <w:rFonts w:ascii="Palatino Linotype" w:hAnsi="Palatino Linotype"/>
          <w:i/>
        </w:rPr>
        <w:t xml:space="preserve"> </w:t>
      </w:r>
      <w:r w:rsidRPr="00115EB9">
        <w:rPr>
          <w:rFonts w:ascii="Palatino Linotype" w:hAnsi="Palatino Linotype"/>
        </w:rPr>
        <w:t>(London</w:t>
      </w:r>
      <w:r w:rsidRPr="0097161D">
        <w:rPr>
          <w:rFonts w:ascii="Palatino Linotype" w:hAnsi="Palatino Linotype"/>
        </w:rPr>
        <w:t xml:space="preserve"> and New York: Tauris Academic Studies, 2006): 49-62.</w:t>
      </w:r>
    </w:p>
  </w:footnote>
  <w:footnote w:id="6">
    <w:p w:rsidR="00A15CD3" w:rsidRPr="0097161D" w:rsidRDefault="00A15CD3" w:rsidP="001761FF">
      <w:pPr>
        <w:pStyle w:val="FootnoteText"/>
        <w:ind w:left="90" w:hanging="90"/>
        <w:jc w:val="both"/>
        <w:rPr>
          <w:rFonts w:ascii="Palatino Linotype" w:hAnsi="Palatino Linotype"/>
        </w:rPr>
      </w:pPr>
      <w:r w:rsidRPr="0097161D">
        <w:rPr>
          <w:rStyle w:val="FootnoteReference"/>
          <w:rFonts w:ascii="Palatino Linotype" w:hAnsi="Palatino Linotype"/>
        </w:rPr>
        <w:footnoteRef/>
      </w:r>
      <w:r w:rsidRPr="0097161D">
        <w:rPr>
          <w:rFonts w:ascii="Palatino Linotype" w:hAnsi="Palatino Linotype"/>
        </w:rPr>
        <w:t xml:space="preserve"> </w:t>
      </w:r>
      <w:r>
        <w:rPr>
          <w:rFonts w:ascii="Palatino Linotype" w:hAnsi="Palatino Linotype"/>
        </w:rPr>
        <w:t xml:space="preserve">Others use 1830 or 1840 the starting point for their research on the Protestant community, for this was when the community’s major institutions were established. E.g. </w:t>
      </w:r>
      <w:r w:rsidRPr="0097161D">
        <w:rPr>
          <w:rFonts w:ascii="Palatino Linotype" w:hAnsi="Palatino Linotype"/>
        </w:rPr>
        <w:t xml:space="preserve">Ellen Fleischmann, ‘Evangelization or Education: American Protestant Missionaries; the American Board, and the Girls and Women of Syria (1830 – 1910)’, in: Murre-van den Berg, </w:t>
      </w:r>
      <w:r w:rsidRPr="0097161D">
        <w:rPr>
          <w:rFonts w:ascii="Palatino Linotype" w:hAnsi="Palatino Linotype"/>
          <w:i/>
        </w:rPr>
        <w:t>NFAL</w:t>
      </w:r>
      <w:r w:rsidRPr="009F65B8">
        <w:rPr>
          <w:rFonts w:ascii="Palatino Linotype" w:hAnsi="Palatino Linotype"/>
        </w:rPr>
        <w:t xml:space="preserve">: </w:t>
      </w:r>
      <w:r>
        <w:rPr>
          <w:rFonts w:ascii="Palatino Linotype" w:hAnsi="Palatino Linotype"/>
        </w:rPr>
        <w:t xml:space="preserve">263-280; </w:t>
      </w:r>
      <w:r w:rsidRPr="009F65B8">
        <w:rPr>
          <w:rFonts w:ascii="Palatino Linotype" w:hAnsi="Palatino Linotype"/>
        </w:rPr>
        <w:t>Habib Badr, ‘Missions to “Nominal Christians”: The Policy and Practice of the American Board of Commissioners for Foreign Missions and its Missionaries Concerning Eastern Churches Which led to the Organization of a Protestant Church in Beirut (1819-1848)’ (Ph.D. Thesis) (Princeton, N.J.: Princeton Theological Seminary, 1992):</w:t>
      </w:r>
      <w:r>
        <w:rPr>
          <w:rFonts w:ascii="Palatino Linotype" w:hAnsi="Palatino Linotype"/>
        </w:rPr>
        <w:t xml:space="preserve"> 121.</w:t>
      </w:r>
    </w:p>
  </w:footnote>
  <w:footnote w:id="7">
    <w:p w:rsidR="00A15CD3" w:rsidRPr="002B2773" w:rsidRDefault="00A15CD3" w:rsidP="001761FF">
      <w:pPr>
        <w:pStyle w:val="FootnoteText"/>
        <w:ind w:left="90" w:hanging="90"/>
        <w:jc w:val="both"/>
        <w:rPr>
          <w:rFonts w:ascii="Palatino Linotype" w:hAnsi="Palatino Linotype"/>
        </w:rPr>
      </w:pPr>
      <w:r w:rsidRPr="002B2773">
        <w:rPr>
          <w:rStyle w:val="FootnoteReference"/>
          <w:rFonts w:ascii="Palatino Linotype" w:hAnsi="Palatino Linotype"/>
        </w:rPr>
        <w:footnoteRef/>
      </w:r>
      <w:r w:rsidRPr="002B2773">
        <w:rPr>
          <w:rFonts w:ascii="Palatino Linotype" w:hAnsi="Palatino Linotype"/>
        </w:rPr>
        <w:t xml:space="preserve"> </w:t>
      </w:r>
      <w:r>
        <w:rPr>
          <w:rFonts w:ascii="Palatino Linotype" w:hAnsi="Palatino Linotype"/>
        </w:rPr>
        <w:t>S</w:t>
      </w:r>
      <w:r w:rsidRPr="002B2773">
        <w:rPr>
          <w:rFonts w:ascii="Palatino Linotype" w:hAnsi="Palatino Linotype"/>
        </w:rPr>
        <w:t xml:space="preserve">ee Ussama Makdisi, </w:t>
      </w:r>
      <w:r w:rsidRPr="002B2773">
        <w:rPr>
          <w:rFonts w:ascii="Palatino Linotype" w:hAnsi="Palatino Linotype"/>
          <w:i/>
        </w:rPr>
        <w:t>The Culture of Sectarianism: Community, History, and Violence in Nineteenth-Century Ottoman Lebanon</w:t>
      </w:r>
      <w:r w:rsidRPr="002B2773">
        <w:rPr>
          <w:rFonts w:ascii="Palatino Linotype" w:hAnsi="Palatino Linotype"/>
        </w:rPr>
        <w:t xml:space="preserve"> (Berkley, Los Angeles and London: University of California Press, 2000);</w:t>
      </w:r>
      <w:r w:rsidRPr="002B2773">
        <w:rPr>
          <w:rFonts w:ascii="Palatino Linotype" w:eastAsia="Times New Roman" w:hAnsi="Palatino Linotype"/>
          <w:color w:val="000000"/>
        </w:rPr>
        <w:t xml:space="preserve"> </w:t>
      </w:r>
      <w:r w:rsidRPr="002B2773">
        <w:rPr>
          <w:rFonts w:ascii="Palatino Linotype" w:hAnsi="Palatino Linotype"/>
        </w:rPr>
        <w:t xml:space="preserve">Caesar E. Farah, </w:t>
      </w:r>
      <w:r w:rsidRPr="002B2773">
        <w:rPr>
          <w:rFonts w:ascii="Palatino Linotype" w:hAnsi="Palatino Linotype"/>
          <w:i/>
        </w:rPr>
        <w:t xml:space="preserve">The Politics of Interventionalism in Ottoman Lebanon, 1830-1861 </w:t>
      </w:r>
      <w:r w:rsidRPr="002B2773">
        <w:rPr>
          <w:rFonts w:ascii="Palatino Linotype" w:hAnsi="Palatino Linotype"/>
        </w:rPr>
        <w:t>(London and New York: I.B. Tauris, 2000);</w:t>
      </w:r>
      <w:r w:rsidRPr="002B2773">
        <w:rPr>
          <w:rFonts w:ascii="Palatino Linotype" w:eastAsia="Times New Roman" w:hAnsi="Palatino Linotype"/>
          <w:color w:val="000000"/>
        </w:rPr>
        <w:t xml:space="preserve"> </w:t>
      </w:r>
      <w:r w:rsidRPr="002B2773">
        <w:rPr>
          <w:rFonts w:ascii="Palatino Linotype" w:hAnsi="Palatino Linotype"/>
        </w:rPr>
        <w:t xml:space="preserve">Leila Tarazi Fawaz, </w:t>
      </w:r>
      <w:r w:rsidRPr="002B2773">
        <w:rPr>
          <w:rFonts w:ascii="Palatino Linotype" w:hAnsi="Palatino Linotype"/>
          <w:i/>
        </w:rPr>
        <w:t>Merchants and Migrants in Nineteenth-Century Beirut</w:t>
      </w:r>
      <w:r w:rsidRPr="002B2773">
        <w:rPr>
          <w:rFonts w:ascii="Palatino Linotype" w:hAnsi="Palatino Linotype"/>
        </w:rPr>
        <w:t xml:space="preserve"> (Cambridge, MA: Harvard University Press, 1993).</w:t>
      </w:r>
      <w:r>
        <w:rPr>
          <w:rFonts w:ascii="Palatino Linotype" w:hAnsi="Palatino Linotype"/>
        </w:rPr>
        <w:t xml:space="preserve"> Khater argues that while 1860 is an important date, one can not overlook the connections that linked Syrian culture and society before and after this date</w:t>
      </w:r>
      <w:r w:rsidRPr="009F0777">
        <w:rPr>
          <w:rFonts w:ascii="Palatino Linotype" w:hAnsi="Palatino Linotype"/>
        </w:rPr>
        <w:t xml:space="preserve">. Akram Fouad Khater, </w:t>
      </w:r>
      <w:r w:rsidRPr="009F0777">
        <w:rPr>
          <w:rFonts w:ascii="Palatino Linotype" w:hAnsi="Palatino Linotype"/>
          <w:i/>
        </w:rPr>
        <w:t>Inventing Home: Emigration, Gender, and the Middle Class in Lebanon, 1870-1920</w:t>
      </w:r>
      <w:r w:rsidRPr="009F0777">
        <w:rPr>
          <w:rFonts w:ascii="Palatino Linotype" w:hAnsi="Palatino Linotype"/>
        </w:rPr>
        <w:t xml:space="preserve"> (Berkley, Los Angeles and London: University of California Press, 2001): 11.</w:t>
      </w:r>
    </w:p>
  </w:footnote>
  <w:footnote w:id="8">
    <w:p w:rsidR="00A15CD3" w:rsidRPr="0097161D" w:rsidRDefault="00A15CD3" w:rsidP="001761FF">
      <w:pPr>
        <w:pStyle w:val="FootnoteText"/>
        <w:ind w:left="90" w:hanging="90"/>
        <w:jc w:val="both"/>
        <w:rPr>
          <w:rFonts w:ascii="Palatino Linotype" w:hAnsi="Palatino Linotype"/>
        </w:rPr>
      </w:pPr>
      <w:r w:rsidRPr="0097161D">
        <w:rPr>
          <w:rStyle w:val="FootnoteReference"/>
          <w:rFonts w:ascii="Palatino Linotype" w:hAnsi="Palatino Linotype"/>
        </w:rPr>
        <w:footnoteRef/>
      </w:r>
      <w:r w:rsidRPr="0097161D">
        <w:rPr>
          <w:rFonts w:ascii="Palatino Linotype" w:hAnsi="Palatino Linotype"/>
        </w:rPr>
        <w:t xml:space="preserve"> Stuart Hall, ‘Cultural Identity and Diaspora’, [1989], in: J. Rutherford</w:t>
      </w:r>
      <w:r>
        <w:rPr>
          <w:rFonts w:ascii="Palatino Linotype" w:hAnsi="Palatino Linotype"/>
        </w:rPr>
        <w:t>, (ed</w:t>
      </w:r>
      <w:r w:rsidRPr="0097161D">
        <w:rPr>
          <w:rFonts w:ascii="Palatino Linotype" w:hAnsi="Palatino Linotype"/>
        </w:rPr>
        <w:t xml:space="preserve">.), </w:t>
      </w:r>
      <w:r w:rsidRPr="0097161D">
        <w:rPr>
          <w:rFonts w:ascii="Palatino Linotype" w:hAnsi="Palatino Linotype"/>
          <w:i/>
        </w:rPr>
        <w:t>Identity: Community, Culture and Difference</w:t>
      </w:r>
      <w:r>
        <w:rPr>
          <w:rFonts w:ascii="Palatino Linotype" w:hAnsi="Palatino Linotype"/>
        </w:rPr>
        <w:t xml:space="preserve"> (</w:t>
      </w:r>
      <w:r w:rsidRPr="0097161D">
        <w:rPr>
          <w:rFonts w:ascii="Palatino Linotype" w:hAnsi="Palatino Linotype"/>
        </w:rPr>
        <w:t>London: Lawrence and Wishart, 1990):</w:t>
      </w:r>
      <w:r w:rsidRPr="0097161D">
        <w:rPr>
          <w:rFonts w:ascii="Palatino Linotype" w:eastAsia="Times New Roman" w:hAnsi="Palatino Linotype"/>
          <w:color w:val="000000"/>
          <w:szCs w:val="24"/>
        </w:rPr>
        <w:t xml:space="preserve"> </w:t>
      </w:r>
      <w:r w:rsidRPr="0097161D">
        <w:rPr>
          <w:rFonts w:ascii="Palatino Linotype" w:hAnsi="Palatino Linotype"/>
        </w:rPr>
        <w:t xml:space="preserve">222-237; Comaroff and Comaroff, </w:t>
      </w:r>
      <w:r>
        <w:rPr>
          <w:rFonts w:ascii="Palatino Linotype" w:hAnsi="Palatino Linotype"/>
          <w:i/>
        </w:rPr>
        <w:t>RR</w:t>
      </w:r>
      <w:r w:rsidRPr="0097161D">
        <w:rPr>
          <w:rFonts w:ascii="Palatino Linotype" w:hAnsi="Palatino Linotype"/>
          <w:i/>
        </w:rPr>
        <w:t>: I</w:t>
      </w:r>
      <w:r w:rsidRPr="0097161D">
        <w:rPr>
          <w:rFonts w:ascii="Palatino Linotype" w:hAnsi="Palatino Linotype"/>
        </w:rPr>
        <w:t xml:space="preserve">; Comaroff and Comaroff, </w:t>
      </w:r>
      <w:r w:rsidRPr="00764650">
        <w:rPr>
          <w:rFonts w:ascii="Palatino Linotype" w:hAnsi="Palatino Linotype"/>
          <w:i/>
        </w:rPr>
        <w:t>RR</w:t>
      </w:r>
      <w:r w:rsidRPr="0097161D">
        <w:rPr>
          <w:rFonts w:ascii="Palatino Linotype" w:hAnsi="Palatino Linotype"/>
          <w:i/>
        </w:rPr>
        <w:t>: II</w:t>
      </w:r>
      <w:r w:rsidRPr="0097161D">
        <w:rPr>
          <w:rFonts w:ascii="Palatino Linotype" w:hAnsi="Palatino Linotype"/>
        </w:rPr>
        <w:t xml:space="preserve">. </w:t>
      </w:r>
    </w:p>
  </w:footnote>
  <w:footnote w:id="9">
    <w:p w:rsidR="00A15CD3" w:rsidRPr="0097161D" w:rsidRDefault="00A15CD3" w:rsidP="001761FF">
      <w:pPr>
        <w:pStyle w:val="FootnoteText"/>
        <w:ind w:left="90" w:hanging="90"/>
        <w:jc w:val="both"/>
        <w:rPr>
          <w:rFonts w:ascii="Palatino Linotype" w:hAnsi="Palatino Linotype"/>
        </w:rPr>
      </w:pPr>
      <w:r w:rsidRPr="0097161D">
        <w:rPr>
          <w:rStyle w:val="FootnoteReference"/>
          <w:rFonts w:ascii="Palatino Linotype" w:hAnsi="Palatino Linotype"/>
        </w:rPr>
        <w:footnoteRef/>
      </w:r>
      <w:r w:rsidRPr="0097161D">
        <w:rPr>
          <w:rFonts w:ascii="Palatino Linotype" w:hAnsi="Palatino Linotype"/>
        </w:rPr>
        <w:t xml:space="preserve"> Amy </w:t>
      </w:r>
      <w:r w:rsidRPr="0097161D">
        <w:rPr>
          <w:rFonts w:ascii="Palatino Linotype" w:hAnsi="Palatino Linotype"/>
          <w:lang w:val="en-US"/>
        </w:rPr>
        <w:t>Kaplan and Donald E. Pease</w:t>
      </w:r>
      <w:r>
        <w:rPr>
          <w:rFonts w:ascii="Palatino Linotype" w:hAnsi="Palatino Linotype"/>
          <w:lang w:val="en-US"/>
        </w:rPr>
        <w:t>, (ed</w:t>
      </w:r>
      <w:r w:rsidRPr="0097161D">
        <w:rPr>
          <w:rFonts w:ascii="Palatino Linotype" w:hAnsi="Palatino Linotype"/>
          <w:lang w:val="en-US"/>
        </w:rPr>
        <w:t xml:space="preserve">s.), </w:t>
      </w:r>
      <w:r w:rsidRPr="0097161D">
        <w:rPr>
          <w:rFonts w:ascii="Palatino Linotype" w:hAnsi="Palatino Linotype"/>
          <w:i/>
          <w:lang w:val="en-US"/>
        </w:rPr>
        <w:t>Cultures of United States Imperialism</w:t>
      </w:r>
      <w:r w:rsidRPr="0097161D">
        <w:rPr>
          <w:rFonts w:ascii="Palatino Linotype" w:hAnsi="Palatino Linotype"/>
          <w:lang w:val="en-US"/>
        </w:rPr>
        <w:t xml:space="preserve"> (Durham, NC: Duke University Press, 1994); Michie and Thomas, </w:t>
      </w:r>
      <w:r w:rsidRPr="0097161D">
        <w:rPr>
          <w:rFonts w:ascii="Palatino Linotype" w:hAnsi="Palatino Linotype"/>
          <w:i/>
          <w:lang w:val="en-US"/>
        </w:rPr>
        <w:t>NCG</w:t>
      </w:r>
      <w:r w:rsidRPr="0097161D">
        <w:rPr>
          <w:rFonts w:ascii="Palatino Linotype" w:hAnsi="Palatino Linotype"/>
          <w:lang w:val="en-US"/>
        </w:rPr>
        <w:t xml:space="preserve">; </w:t>
      </w:r>
      <w:r w:rsidRPr="0097161D">
        <w:rPr>
          <w:rFonts w:ascii="Palatino Linotype" w:hAnsi="Palatino Linotype"/>
        </w:rPr>
        <w:t xml:space="preserve">Mari Yoshihara, </w:t>
      </w:r>
      <w:r w:rsidRPr="0097161D">
        <w:rPr>
          <w:rFonts w:ascii="Palatino Linotype" w:hAnsi="Palatino Linotype"/>
          <w:i/>
        </w:rPr>
        <w:t>Embracing the East: White</w:t>
      </w:r>
      <w:r>
        <w:rPr>
          <w:rFonts w:ascii="Palatino Linotype" w:hAnsi="Palatino Linotype"/>
          <w:i/>
        </w:rPr>
        <w:t xml:space="preserve"> Women and American Orientalism</w:t>
      </w:r>
      <w:r w:rsidRPr="0097161D">
        <w:rPr>
          <w:rFonts w:ascii="Palatino Linotype" w:hAnsi="Palatino Linotype"/>
          <w:i/>
        </w:rPr>
        <w:t xml:space="preserve"> </w:t>
      </w:r>
      <w:r w:rsidRPr="0097161D">
        <w:rPr>
          <w:rFonts w:ascii="Palatino Linotype" w:hAnsi="Palatino Linotype"/>
        </w:rPr>
        <w:t>(Oxford: Oxford University Press, 2003); Nupur Chaudhuri, ‘Shawls, Jewellery, Curry and Rice in Victorian Britain’, in: N. Chaudhuri and M. Strobel</w:t>
      </w:r>
      <w:r>
        <w:rPr>
          <w:rFonts w:ascii="Palatino Linotype" w:hAnsi="Palatino Linotype"/>
        </w:rPr>
        <w:t>, (ed</w:t>
      </w:r>
      <w:r w:rsidRPr="0097161D">
        <w:rPr>
          <w:rFonts w:ascii="Palatino Linotype" w:hAnsi="Palatino Linotype"/>
        </w:rPr>
        <w:t xml:space="preserve">s.), </w:t>
      </w:r>
      <w:r w:rsidRPr="0097161D">
        <w:rPr>
          <w:rFonts w:ascii="Palatino Linotype" w:hAnsi="Palatino Linotype"/>
          <w:i/>
        </w:rPr>
        <w:t>Western Women and Imperialism: Complicity and Resistance</w:t>
      </w:r>
      <w:r w:rsidRPr="0097161D">
        <w:rPr>
          <w:rFonts w:ascii="Palatino Linotype" w:hAnsi="Palatino Linotype"/>
        </w:rPr>
        <w:t xml:space="preserve"> (Bloomington and Indianapolis: Indiana University Press, 1992): 231-246; Laura E. Donaldson, </w:t>
      </w:r>
      <w:r w:rsidRPr="0097161D">
        <w:rPr>
          <w:rFonts w:ascii="Palatino Linotype" w:hAnsi="Palatino Linotype"/>
          <w:i/>
        </w:rPr>
        <w:t>Decolonizing Feminisms: Race, Gender, and Empire-Building</w:t>
      </w:r>
      <w:r w:rsidRPr="0097161D">
        <w:rPr>
          <w:rFonts w:ascii="Palatino Linotype" w:hAnsi="Palatino Linotype"/>
        </w:rPr>
        <w:t xml:space="preserve"> (London: Routledge, 1992); Dana L. Robert, ‘The Influence of American Missionary Women on the World Back Home’, </w:t>
      </w:r>
      <w:r w:rsidRPr="0097161D">
        <w:rPr>
          <w:rFonts w:ascii="Palatino Linotype" w:hAnsi="Palatino Linotype"/>
          <w:i/>
        </w:rPr>
        <w:t>Religion and American Culture</w:t>
      </w:r>
      <w:r>
        <w:rPr>
          <w:rFonts w:ascii="Palatino Linotype" w:hAnsi="Palatino Linotype"/>
        </w:rPr>
        <w:t>, 12: 1 (2002): 59-89.</w:t>
      </w:r>
    </w:p>
  </w:footnote>
  <w:footnote w:id="10">
    <w:p w:rsidR="00A15CD3" w:rsidRPr="00E16358" w:rsidRDefault="00A15CD3" w:rsidP="001761FF">
      <w:pPr>
        <w:pStyle w:val="FootnoteText"/>
        <w:ind w:left="90" w:hanging="90"/>
        <w:jc w:val="both"/>
      </w:pPr>
      <w:r w:rsidRPr="00E16358">
        <w:rPr>
          <w:rStyle w:val="FootnoteReference"/>
          <w:rFonts w:ascii="Palatino Linotype" w:hAnsi="Palatino Linotype"/>
        </w:rPr>
        <w:footnoteRef/>
      </w:r>
      <w:r w:rsidRPr="00E16358">
        <w:rPr>
          <w:rFonts w:ascii="Palatino Linotype" w:hAnsi="Palatino Linotype"/>
        </w:rPr>
        <w:t xml:space="preserve">  The debate over modernity, mission and colonialism encompasses a variety of different facets. Important works on this topic include </w:t>
      </w:r>
      <w:r w:rsidRPr="00E16358">
        <w:rPr>
          <w:rFonts w:ascii="Palatino Linotype" w:hAnsi="Palatino Linotype"/>
          <w:lang w:val="en-US"/>
        </w:rPr>
        <w:t>Mathew</w:t>
      </w:r>
      <w:r w:rsidRPr="00523341">
        <w:rPr>
          <w:rFonts w:ascii="Palatino Linotype" w:hAnsi="Palatino Linotype"/>
          <w:lang w:val="en-US"/>
        </w:rPr>
        <w:t xml:space="preserve"> Burrows, </w:t>
      </w:r>
      <w:r w:rsidRPr="00E16358">
        <w:rPr>
          <w:rFonts w:ascii="Palatino Linotype" w:hAnsi="Palatino Linotype"/>
          <w:bCs/>
          <w:lang w:val="en-US"/>
        </w:rPr>
        <w:t>'Mission civilisatrice': French Cultural Policy in the Middle East, 1860-1914’</w:t>
      </w:r>
      <w:r>
        <w:rPr>
          <w:rFonts w:ascii="Palatino Linotype" w:hAnsi="Palatino Linotype"/>
          <w:bCs/>
          <w:lang w:val="en-US"/>
        </w:rPr>
        <w:t>,</w:t>
      </w:r>
      <w:r w:rsidRPr="00E16358">
        <w:rPr>
          <w:rFonts w:ascii="Palatino Linotype" w:hAnsi="Palatino Linotype"/>
          <w:bCs/>
          <w:lang w:val="en-US"/>
        </w:rPr>
        <w:t xml:space="preserve"> </w:t>
      </w:r>
      <w:r w:rsidRPr="00E16358">
        <w:rPr>
          <w:rFonts w:ascii="Palatino Linotype" w:hAnsi="Palatino Linotype"/>
          <w:i/>
          <w:iCs/>
          <w:lang w:val="en-US"/>
        </w:rPr>
        <w:t>The Historical Journal</w:t>
      </w:r>
      <w:r>
        <w:rPr>
          <w:rFonts w:ascii="Palatino Linotype" w:hAnsi="Palatino Linotype"/>
          <w:lang w:val="en-US"/>
        </w:rPr>
        <w:t>,</w:t>
      </w:r>
      <w:r w:rsidRPr="00E16358">
        <w:rPr>
          <w:rFonts w:ascii="Palatino Linotype" w:hAnsi="Palatino Linotype"/>
          <w:lang w:val="en-US"/>
        </w:rPr>
        <w:t xml:space="preserve"> 29</w:t>
      </w:r>
      <w:r>
        <w:rPr>
          <w:rFonts w:ascii="Palatino Linotype" w:hAnsi="Palatino Linotype"/>
          <w:lang w:val="en-US"/>
        </w:rPr>
        <w:t>:</w:t>
      </w:r>
      <w:r w:rsidRPr="00E16358">
        <w:rPr>
          <w:rFonts w:ascii="Palatino Linotype" w:hAnsi="Palatino Linotype"/>
          <w:lang w:val="en-US"/>
        </w:rPr>
        <w:t xml:space="preserve"> 1</w:t>
      </w:r>
      <w:r>
        <w:rPr>
          <w:rFonts w:ascii="Palatino Linotype" w:hAnsi="Palatino Linotype"/>
          <w:lang w:val="en-US"/>
        </w:rPr>
        <w:t xml:space="preserve"> (1986):</w:t>
      </w:r>
      <w:r w:rsidRPr="00E16358">
        <w:rPr>
          <w:rFonts w:ascii="Palatino Linotype" w:hAnsi="Palatino Linotype"/>
          <w:lang w:val="en-US"/>
        </w:rPr>
        <w:t xml:space="preserve"> 109-135; </w:t>
      </w:r>
      <w:r w:rsidRPr="00E16358">
        <w:rPr>
          <w:rFonts w:ascii="Palatino Linotype" w:hAnsi="Palatino Linotype"/>
        </w:rPr>
        <w:t>Akram</w:t>
      </w:r>
      <w:r w:rsidRPr="00523341">
        <w:rPr>
          <w:rFonts w:ascii="Palatino Linotype" w:hAnsi="Palatino Linotype"/>
        </w:rPr>
        <w:t xml:space="preserve"> Khater, </w:t>
      </w:r>
      <w:r w:rsidRPr="00E16358">
        <w:rPr>
          <w:rFonts w:ascii="Palatino Linotype" w:hAnsi="Palatino Linotype"/>
        </w:rPr>
        <w:t>‘”God has Called Me to be Free”: Aleppan Nuns and the Transformation of Catholicism in 18th Century Bilad al-Sham’</w:t>
      </w:r>
      <w:r>
        <w:rPr>
          <w:rFonts w:ascii="Palatino Linotype" w:hAnsi="Palatino Linotype"/>
        </w:rPr>
        <w:t>,</w:t>
      </w:r>
      <w:r w:rsidRPr="00E16358">
        <w:rPr>
          <w:rFonts w:ascii="Palatino Linotype" w:hAnsi="Palatino Linotype"/>
        </w:rPr>
        <w:t xml:space="preserve"> </w:t>
      </w:r>
      <w:r w:rsidRPr="00E16358">
        <w:rPr>
          <w:rFonts w:ascii="Palatino Linotype" w:hAnsi="Palatino Linotype"/>
          <w:i/>
        </w:rPr>
        <w:t>I</w:t>
      </w:r>
      <w:r>
        <w:rPr>
          <w:rFonts w:ascii="Palatino Linotype" w:hAnsi="Palatino Linotype"/>
          <w:i/>
        </w:rPr>
        <w:t>JMES,</w:t>
      </w:r>
      <w:r w:rsidRPr="00E16358">
        <w:rPr>
          <w:rFonts w:ascii="Palatino Linotype" w:hAnsi="Palatino Linotype"/>
        </w:rPr>
        <w:t xml:space="preserve"> 40</w:t>
      </w:r>
      <w:r>
        <w:rPr>
          <w:rFonts w:ascii="Palatino Linotype" w:hAnsi="Palatino Linotype"/>
        </w:rPr>
        <w:t xml:space="preserve"> (2008):</w:t>
      </w:r>
      <w:r w:rsidRPr="00E16358">
        <w:rPr>
          <w:rFonts w:ascii="Palatino Linotype" w:hAnsi="Palatino Linotype"/>
        </w:rPr>
        <w:t xml:space="preserve"> 421-443; Elisa</w:t>
      </w:r>
      <w:r w:rsidRPr="00523341">
        <w:rPr>
          <w:rFonts w:ascii="Palatino Linotype" w:hAnsi="Palatino Linotype"/>
        </w:rPr>
        <w:t xml:space="preserve"> Camiscioli, </w:t>
      </w:r>
      <w:r w:rsidRPr="00E16358">
        <w:rPr>
          <w:rFonts w:ascii="Palatino Linotype" w:hAnsi="Palatino Linotype"/>
        </w:rPr>
        <w:t>‘Gender, Colonialism and Citizenship in the Modern Middle East’</w:t>
      </w:r>
      <w:r>
        <w:rPr>
          <w:rFonts w:ascii="Palatino Linotype" w:hAnsi="Palatino Linotype"/>
        </w:rPr>
        <w:t>,</w:t>
      </w:r>
      <w:r w:rsidRPr="00E16358">
        <w:rPr>
          <w:rFonts w:ascii="Palatino Linotype" w:hAnsi="Palatino Linotype"/>
        </w:rPr>
        <w:t xml:space="preserve"> </w:t>
      </w:r>
      <w:r w:rsidRPr="00E16358">
        <w:rPr>
          <w:rFonts w:ascii="Palatino Linotype" w:hAnsi="Palatino Linotype"/>
          <w:i/>
        </w:rPr>
        <w:t>Gender and History</w:t>
      </w:r>
      <w:r>
        <w:rPr>
          <w:rFonts w:ascii="Palatino Linotype" w:hAnsi="Palatino Linotype"/>
          <w:i/>
        </w:rPr>
        <w:t>,</w:t>
      </w:r>
      <w:r w:rsidRPr="00E16358">
        <w:rPr>
          <w:rFonts w:ascii="Palatino Linotype" w:hAnsi="Palatino Linotype"/>
        </w:rPr>
        <w:t xml:space="preserve"> 16</w:t>
      </w:r>
      <w:r>
        <w:rPr>
          <w:rFonts w:ascii="Palatino Linotype" w:hAnsi="Palatino Linotype"/>
        </w:rPr>
        <w:t>:</w:t>
      </w:r>
      <w:r w:rsidRPr="00E16358">
        <w:rPr>
          <w:rFonts w:ascii="Palatino Linotype" w:hAnsi="Palatino Linotype"/>
        </w:rPr>
        <w:t>1</w:t>
      </w:r>
      <w:r>
        <w:rPr>
          <w:rFonts w:ascii="Palatino Linotype" w:hAnsi="Palatino Linotype"/>
        </w:rPr>
        <w:t xml:space="preserve"> (2004</w:t>
      </w:r>
      <w:r w:rsidRPr="00E16358">
        <w:rPr>
          <w:rFonts w:ascii="Palatino Linotype" w:hAnsi="Palatino Linotype"/>
        </w:rPr>
        <w:t>)</w:t>
      </w:r>
      <w:r>
        <w:rPr>
          <w:rFonts w:ascii="Palatino Linotype" w:hAnsi="Palatino Linotype"/>
        </w:rPr>
        <w:t>:</w:t>
      </w:r>
      <w:r w:rsidRPr="00E16358">
        <w:rPr>
          <w:rFonts w:ascii="Palatino Linotype" w:hAnsi="Palatino Linotype"/>
        </w:rPr>
        <w:t xml:space="preserve"> 205-208; Lisa</w:t>
      </w:r>
      <w:r w:rsidRPr="00523341">
        <w:rPr>
          <w:rFonts w:ascii="Palatino Linotype" w:hAnsi="Palatino Linotype"/>
        </w:rPr>
        <w:t xml:space="preserve"> Pollard, </w:t>
      </w:r>
      <w:r w:rsidRPr="00E16358">
        <w:rPr>
          <w:rFonts w:ascii="Palatino Linotype" w:hAnsi="Palatino Linotype"/>
          <w:i/>
        </w:rPr>
        <w:t>Nurturing the Nation: The Family Politics of Modernizing, Colonizing, and Liberating Egypt, 1805-1923</w:t>
      </w:r>
      <w:r>
        <w:rPr>
          <w:rFonts w:ascii="Palatino Linotype" w:hAnsi="Palatino Linotype"/>
        </w:rPr>
        <w:t xml:space="preserve"> (</w:t>
      </w:r>
      <w:r w:rsidRPr="00E16358">
        <w:rPr>
          <w:rFonts w:ascii="Palatino Linotype" w:hAnsi="Palatino Linotype"/>
        </w:rPr>
        <w:t>Berkley, Los Angeles and London: University of California Press</w:t>
      </w:r>
      <w:r>
        <w:rPr>
          <w:rFonts w:ascii="Palatino Linotype" w:hAnsi="Palatino Linotype"/>
        </w:rPr>
        <w:t xml:space="preserve">, 2004); </w:t>
      </w:r>
      <w:r w:rsidRPr="00523341">
        <w:rPr>
          <w:rFonts w:ascii="Palatino Linotype" w:hAnsi="Palatino Linotype"/>
        </w:rPr>
        <w:t xml:space="preserve">Kalpana Ram and Margaret Jolly, (eds.), </w:t>
      </w:r>
      <w:r w:rsidRPr="00523341">
        <w:rPr>
          <w:rFonts w:ascii="Palatino Linotype" w:hAnsi="Palatino Linotype"/>
          <w:i/>
        </w:rPr>
        <w:t>Maternities and Modernities: Colonial and Postcolonial Experiences in Asia and the Pacific</w:t>
      </w:r>
      <w:r w:rsidRPr="00523341">
        <w:rPr>
          <w:rFonts w:ascii="Palatino Linotype" w:hAnsi="Palatino Linotype"/>
        </w:rPr>
        <w:t xml:space="preserve"> (Cambridge: Ca</w:t>
      </w:r>
      <w:r>
        <w:rPr>
          <w:rFonts w:ascii="Palatino Linotype" w:hAnsi="Palatino Linotype"/>
        </w:rPr>
        <w:t>mbridge University Press, 1998).</w:t>
      </w:r>
    </w:p>
  </w:footnote>
  <w:footnote w:id="11">
    <w:p w:rsidR="00A15CD3" w:rsidRPr="0097161D" w:rsidRDefault="00A15CD3" w:rsidP="001761FF">
      <w:pPr>
        <w:pStyle w:val="FootnoteText"/>
        <w:ind w:left="90" w:hanging="90"/>
        <w:jc w:val="both"/>
        <w:rPr>
          <w:rFonts w:ascii="Palatino Linotype" w:hAnsi="Palatino Linotype"/>
        </w:rPr>
      </w:pPr>
      <w:r w:rsidRPr="0097161D">
        <w:rPr>
          <w:rStyle w:val="FootnoteReference"/>
          <w:rFonts w:ascii="Palatino Linotype" w:hAnsi="Palatino Linotype"/>
        </w:rPr>
        <w:footnoteRef/>
      </w:r>
      <w:r w:rsidRPr="0097161D">
        <w:rPr>
          <w:rFonts w:ascii="Palatino Linotype" w:hAnsi="Palatino Linotype"/>
        </w:rPr>
        <w:t xml:space="preserve"> Barbara N. Ramusack, ‘Cultural Missionaries, Maternal Imperialists, Feminist Allies: British Women Activists in India, 1865-1945’, in: N. Chaudhuri and M. Strobel</w:t>
      </w:r>
      <w:r>
        <w:rPr>
          <w:rFonts w:ascii="Palatino Linotype" w:hAnsi="Palatino Linotype"/>
        </w:rPr>
        <w:t>, (ed</w:t>
      </w:r>
      <w:r w:rsidRPr="0097161D">
        <w:rPr>
          <w:rFonts w:ascii="Palatino Linotype" w:hAnsi="Palatino Linotype"/>
        </w:rPr>
        <w:t xml:space="preserve">s.), </w:t>
      </w:r>
      <w:r w:rsidRPr="0097161D">
        <w:rPr>
          <w:rFonts w:ascii="Palatino Linotype" w:hAnsi="Palatino Linotype"/>
          <w:i/>
        </w:rPr>
        <w:t>Western Women and Imperialism: Complicity and Resistance</w:t>
      </w:r>
      <w:r w:rsidRPr="0097161D">
        <w:rPr>
          <w:rFonts w:ascii="Palatino Linotype" w:hAnsi="Palatino Linotype"/>
        </w:rPr>
        <w:t xml:space="preserve"> (Bloomington and Indianapolis: Indiana University Press, 1992): 119-136; Kumari Jayawardena, </w:t>
      </w:r>
      <w:r w:rsidRPr="0097161D">
        <w:rPr>
          <w:rFonts w:ascii="Palatino Linotype" w:hAnsi="Palatino Linotype"/>
          <w:i/>
        </w:rPr>
        <w:t>The White Woman’s Other Burden: Western Women and South Asia During British Colonial Rule</w:t>
      </w:r>
      <w:r>
        <w:rPr>
          <w:rFonts w:ascii="Palatino Linotype" w:hAnsi="Palatino Linotype"/>
        </w:rPr>
        <w:t xml:space="preserve"> </w:t>
      </w:r>
      <w:r w:rsidRPr="0097161D">
        <w:rPr>
          <w:rFonts w:ascii="Palatino Linotype" w:hAnsi="Palatino Linotype"/>
        </w:rPr>
        <w:t xml:space="preserve">(New York and London: Routledge, 1995); Billie Melman, </w:t>
      </w:r>
      <w:r w:rsidRPr="0097161D">
        <w:rPr>
          <w:rFonts w:ascii="Palatino Linotype" w:hAnsi="Palatino Linotype"/>
          <w:i/>
        </w:rPr>
        <w:t>Women’s Orients: English Women and the Middle East, 1718-191</w:t>
      </w:r>
      <w:r>
        <w:rPr>
          <w:rFonts w:ascii="Palatino Linotype" w:hAnsi="Palatino Linotype"/>
          <w:i/>
        </w:rPr>
        <w:t>8: Sexuality, Religion and Work</w:t>
      </w:r>
      <w:r w:rsidRPr="0097161D">
        <w:rPr>
          <w:rFonts w:ascii="Palatino Linotype" w:hAnsi="Palatino Linotype"/>
        </w:rPr>
        <w:t xml:space="preserve"> (Hampshire: Macmillion, 1992); Ram and Jolly</w:t>
      </w:r>
      <w:r>
        <w:rPr>
          <w:rFonts w:ascii="Palatino Linotype" w:hAnsi="Palatino Linotype"/>
        </w:rPr>
        <w:t xml:space="preserve">, </w:t>
      </w:r>
      <w:r w:rsidRPr="0097161D">
        <w:rPr>
          <w:rFonts w:ascii="Palatino Linotype" w:hAnsi="Palatino Linotype"/>
          <w:i/>
        </w:rPr>
        <w:t>Maternities and Modernities</w:t>
      </w:r>
      <w:r>
        <w:rPr>
          <w:rFonts w:ascii="Palatino Linotype" w:hAnsi="Palatino Linotype"/>
          <w:i/>
        </w:rPr>
        <w:t>;</w:t>
      </w:r>
      <w:r w:rsidRPr="0097161D">
        <w:rPr>
          <w:rFonts w:ascii="Palatino Linotype" w:hAnsi="Palatino Linotype"/>
        </w:rPr>
        <w:t xml:space="preserve"> Yoshihara, </w:t>
      </w:r>
      <w:r w:rsidRPr="0097161D">
        <w:rPr>
          <w:rFonts w:ascii="Palatino Linotype" w:hAnsi="Palatino Linotype"/>
          <w:i/>
        </w:rPr>
        <w:t>Embracing the East</w:t>
      </w:r>
      <w:r w:rsidRPr="0097161D">
        <w:rPr>
          <w:rFonts w:ascii="Palatino Linotype" w:hAnsi="Palatino Linotype"/>
        </w:rPr>
        <w:t>; Jane Haggis, ‘White Women and Colonialism: Towards a Non-Recuperative History’, in: R. Lewis and S. Mills</w:t>
      </w:r>
      <w:r>
        <w:rPr>
          <w:rFonts w:ascii="Palatino Linotype" w:hAnsi="Palatino Linotype"/>
        </w:rPr>
        <w:t>, (ed</w:t>
      </w:r>
      <w:r w:rsidRPr="0097161D">
        <w:rPr>
          <w:rFonts w:ascii="Palatino Linotype" w:hAnsi="Palatino Linotype"/>
        </w:rPr>
        <w:t xml:space="preserve">s.), </w:t>
      </w:r>
      <w:r w:rsidRPr="0097161D">
        <w:rPr>
          <w:rFonts w:ascii="Palatino Linotype" w:hAnsi="Palatino Linotype"/>
          <w:i/>
        </w:rPr>
        <w:t>Feminist Postcolonial Theory: A Reader</w:t>
      </w:r>
      <w:r>
        <w:rPr>
          <w:rFonts w:ascii="Palatino Linotype" w:hAnsi="Palatino Linotype"/>
          <w:i/>
        </w:rPr>
        <w:t xml:space="preserve"> (</w:t>
      </w:r>
      <w:r w:rsidRPr="0097161D">
        <w:rPr>
          <w:rFonts w:ascii="Palatino Linotype" w:hAnsi="Palatino Linotype"/>
        </w:rPr>
        <w:t xml:space="preserve">New York: Routledge, 2003): 161-189. </w:t>
      </w:r>
    </w:p>
  </w:footnote>
  <w:footnote w:id="12">
    <w:p w:rsidR="00A15CD3" w:rsidRPr="0097161D" w:rsidRDefault="00A15CD3" w:rsidP="001761FF">
      <w:pPr>
        <w:pStyle w:val="FootnoteText"/>
        <w:ind w:left="90" w:hanging="90"/>
        <w:jc w:val="both"/>
        <w:rPr>
          <w:rFonts w:ascii="Palatino Linotype" w:hAnsi="Palatino Linotype"/>
        </w:rPr>
      </w:pPr>
      <w:r w:rsidRPr="0097161D">
        <w:rPr>
          <w:rStyle w:val="FootnoteReference"/>
          <w:rFonts w:ascii="Palatino Linotype" w:hAnsi="Palatino Linotype"/>
        </w:rPr>
        <w:footnoteRef/>
      </w:r>
      <w:r w:rsidRPr="0097161D">
        <w:rPr>
          <w:rFonts w:ascii="Palatino Linotype" w:hAnsi="Palatino Linotype"/>
        </w:rPr>
        <w:t xml:space="preserve"> </w:t>
      </w:r>
      <w:r w:rsidRPr="0097161D">
        <w:rPr>
          <w:rFonts w:ascii="Palatino Linotype" w:hAnsi="Palatino Linotype"/>
          <w:lang w:val="en-US"/>
        </w:rPr>
        <w:t xml:space="preserve">Joseph L. Grabill, </w:t>
      </w:r>
      <w:r w:rsidRPr="0097161D">
        <w:rPr>
          <w:rFonts w:ascii="Palatino Linotype" w:hAnsi="Palatino Linotype"/>
          <w:i/>
          <w:lang w:val="en-US"/>
        </w:rPr>
        <w:t>Protestant Diplomacy and the Near East: Missionary Influence on American Policy, 1810-1927</w:t>
      </w:r>
      <w:r>
        <w:rPr>
          <w:rFonts w:ascii="Palatino Linotype" w:hAnsi="Palatino Linotype"/>
          <w:i/>
          <w:lang w:val="en-US"/>
        </w:rPr>
        <w:t xml:space="preserve"> (</w:t>
      </w:r>
      <w:r w:rsidRPr="0097161D">
        <w:rPr>
          <w:rFonts w:ascii="Palatino Linotype" w:hAnsi="Palatino Linotype"/>
          <w:lang w:val="en-US"/>
        </w:rPr>
        <w:t xml:space="preserve">Minneapolis: University of Minnesota Press, 1971); </w:t>
      </w:r>
      <w:r w:rsidRPr="0097161D">
        <w:rPr>
          <w:rFonts w:ascii="Palatino Linotype" w:hAnsi="Palatino Linotype"/>
        </w:rPr>
        <w:t>Julia Clancy-Smith, ‘Methodologies, Paradigms and Sources for Studying Women and Islamic Cultures: Colonialism: 18</w:t>
      </w:r>
      <w:r w:rsidRPr="0097161D">
        <w:rPr>
          <w:rFonts w:ascii="Palatino Linotype" w:hAnsi="Palatino Linotype"/>
          <w:vertAlign w:val="superscript"/>
        </w:rPr>
        <w:t>th</w:t>
      </w:r>
      <w:r w:rsidRPr="0097161D">
        <w:rPr>
          <w:rFonts w:ascii="Palatino Linotype" w:hAnsi="Palatino Linotype"/>
        </w:rPr>
        <w:t xml:space="preserve"> to Early 20</w:t>
      </w:r>
      <w:r w:rsidRPr="0097161D">
        <w:rPr>
          <w:rFonts w:ascii="Palatino Linotype" w:hAnsi="Palatino Linotype"/>
          <w:vertAlign w:val="superscript"/>
        </w:rPr>
        <w:t>th</w:t>
      </w:r>
      <w:r w:rsidRPr="0097161D">
        <w:rPr>
          <w:rFonts w:ascii="Palatino Linotype" w:hAnsi="Palatino Linotype"/>
        </w:rPr>
        <w:t xml:space="preserve"> Century’, in: S. Joseph</w:t>
      </w:r>
      <w:r>
        <w:rPr>
          <w:rFonts w:ascii="Palatino Linotype" w:hAnsi="Palatino Linotype"/>
        </w:rPr>
        <w:t>, (ed</w:t>
      </w:r>
      <w:r w:rsidRPr="0097161D">
        <w:rPr>
          <w:rFonts w:ascii="Palatino Linotype" w:hAnsi="Palatino Linotype"/>
        </w:rPr>
        <w:t xml:space="preserve">.), </w:t>
      </w:r>
      <w:r>
        <w:rPr>
          <w:rFonts w:ascii="Palatino Linotype" w:hAnsi="Palatino Linotype"/>
          <w:i/>
        </w:rPr>
        <w:t>EWIC:</w:t>
      </w:r>
      <w:r w:rsidRPr="0097161D">
        <w:rPr>
          <w:rFonts w:ascii="Palatino Linotype" w:hAnsi="Palatino Linotype"/>
          <w:i/>
        </w:rPr>
        <w:t xml:space="preserve"> I: Methodologies, Paradigms and Sources</w:t>
      </w:r>
      <w:r>
        <w:rPr>
          <w:rFonts w:ascii="Palatino Linotype" w:hAnsi="Palatino Linotype"/>
        </w:rPr>
        <w:t xml:space="preserve"> (Leiden: Brill, 2003): 100.</w:t>
      </w:r>
      <w:r w:rsidRPr="0097161D">
        <w:rPr>
          <w:rFonts w:ascii="Palatino Linotype" w:hAnsi="Palatino Linotype"/>
        </w:rPr>
        <w:t xml:space="preserve"> </w:t>
      </w:r>
    </w:p>
  </w:footnote>
  <w:footnote w:id="13">
    <w:p w:rsidR="00A15CD3" w:rsidRPr="00093877" w:rsidRDefault="00A15CD3" w:rsidP="001761FF">
      <w:pPr>
        <w:pStyle w:val="FootnoteText"/>
        <w:ind w:left="90" w:hanging="90"/>
        <w:jc w:val="both"/>
        <w:rPr>
          <w:rFonts w:ascii="Palatino Linotype" w:hAnsi="Palatino Linotype"/>
          <w:lang w:val="en-US"/>
        </w:rPr>
      </w:pPr>
      <w:r w:rsidRPr="00093877">
        <w:rPr>
          <w:rStyle w:val="FootnoteReference"/>
          <w:rFonts w:ascii="Palatino Linotype" w:hAnsi="Palatino Linotype"/>
        </w:rPr>
        <w:footnoteRef/>
      </w:r>
      <w:r w:rsidRPr="00093877">
        <w:rPr>
          <w:rFonts w:ascii="Palatino Linotype" w:hAnsi="Palatino Linotype"/>
        </w:rPr>
        <w:t xml:space="preserve"> </w:t>
      </w:r>
      <w:r w:rsidRPr="00093877">
        <w:rPr>
          <w:rFonts w:ascii="Palatino Linotype" w:hAnsi="Palatino Linotype"/>
          <w:lang w:val="en-US"/>
        </w:rPr>
        <w:t xml:space="preserve">T. O. Beidelman, </w:t>
      </w:r>
      <w:r w:rsidRPr="00093877">
        <w:rPr>
          <w:rFonts w:ascii="Palatino Linotype" w:hAnsi="Palatino Linotype"/>
          <w:i/>
          <w:lang w:val="en-US"/>
        </w:rPr>
        <w:t>Colonial Evangelism: A Socio-Historical Study of an East African Mission at the Grassroots</w:t>
      </w:r>
      <w:r w:rsidRPr="00093877">
        <w:rPr>
          <w:rFonts w:ascii="Palatino Linotype" w:hAnsi="Palatino Linotype"/>
          <w:lang w:val="en-US"/>
        </w:rPr>
        <w:t xml:space="preserve"> (Bloomington: Indiana University Press, 1982); </w:t>
      </w:r>
      <w:r w:rsidRPr="00093877">
        <w:rPr>
          <w:rFonts w:ascii="Palatino Linotype" w:hAnsi="Palatino Linotype"/>
        </w:rPr>
        <w:t>Clancy-Smith, ‘Methodologies: Colonialism: 18</w:t>
      </w:r>
      <w:r w:rsidRPr="00093877">
        <w:rPr>
          <w:rFonts w:ascii="Palatino Linotype" w:hAnsi="Palatino Linotype"/>
          <w:vertAlign w:val="superscript"/>
        </w:rPr>
        <w:t>th</w:t>
      </w:r>
      <w:r w:rsidRPr="00093877">
        <w:rPr>
          <w:rFonts w:ascii="Palatino Linotype" w:hAnsi="Palatino Linotype"/>
        </w:rPr>
        <w:t xml:space="preserve"> to Early 20</w:t>
      </w:r>
      <w:r w:rsidRPr="00093877">
        <w:rPr>
          <w:rFonts w:ascii="Palatino Linotype" w:hAnsi="Palatino Linotype"/>
          <w:vertAlign w:val="superscript"/>
        </w:rPr>
        <w:t>th</w:t>
      </w:r>
      <w:r w:rsidRPr="00093877">
        <w:rPr>
          <w:rFonts w:ascii="Palatino Linotype" w:hAnsi="Palatino Linotype"/>
        </w:rPr>
        <w:t xml:space="preserve"> Century’: 100-101. Cooper argues that ‘imperialism’ pertains to the ‘intervening in another polity without actually governing it</w:t>
      </w:r>
      <w:r>
        <w:rPr>
          <w:rFonts w:ascii="Palatino Linotype" w:hAnsi="Palatino Linotype"/>
        </w:rPr>
        <w:t>’</w:t>
      </w:r>
      <w:r w:rsidRPr="00093877">
        <w:rPr>
          <w:rFonts w:ascii="Palatino Linotype" w:hAnsi="Palatino Linotype"/>
        </w:rPr>
        <w:t xml:space="preserve">, while ‘colonialism’ is the ‘governing [of] the internal affairs of a subordinated polity’. Frederick Cooper, </w:t>
      </w:r>
      <w:r w:rsidRPr="00093877">
        <w:rPr>
          <w:rFonts w:ascii="Palatino Linotype" w:hAnsi="Palatino Linotype"/>
          <w:i/>
        </w:rPr>
        <w:t>Colonialism in Question: Theory, Knowledge, History</w:t>
      </w:r>
      <w:r w:rsidRPr="00093877">
        <w:rPr>
          <w:rFonts w:ascii="Palatino Linotype" w:hAnsi="Palatino Linotype"/>
        </w:rPr>
        <w:t xml:space="preserve"> (Berkley, Los Angeles and London: University of California Press, 2005): 250 note 61.</w:t>
      </w:r>
    </w:p>
  </w:footnote>
  <w:footnote w:id="14">
    <w:p w:rsidR="00A15CD3" w:rsidRPr="0097161D" w:rsidRDefault="00A15CD3" w:rsidP="001761FF">
      <w:pPr>
        <w:pStyle w:val="FootnoteText"/>
        <w:ind w:left="90" w:hanging="90"/>
        <w:jc w:val="both"/>
        <w:rPr>
          <w:rFonts w:ascii="Palatino Linotype" w:hAnsi="Palatino Linotype"/>
        </w:rPr>
      </w:pPr>
      <w:r w:rsidRPr="0097161D">
        <w:rPr>
          <w:rStyle w:val="FootnoteReference"/>
          <w:rFonts w:ascii="Palatino Linotype" w:hAnsi="Palatino Linotype"/>
        </w:rPr>
        <w:footnoteRef/>
      </w:r>
      <w:r w:rsidRPr="0097161D">
        <w:rPr>
          <w:rFonts w:ascii="Palatino Linotype" w:hAnsi="Palatino Linotype"/>
        </w:rPr>
        <w:t xml:space="preserve"> Andrew Porter, ‘Imperialism, Altruism, and Missionary Enterprise: The British Protestant Experience Since the Late Eighteenth Century’, in: Tejirian and Simon, </w:t>
      </w:r>
      <w:r w:rsidRPr="0097161D">
        <w:rPr>
          <w:rFonts w:ascii="Palatino Linotype" w:hAnsi="Palatino Linotype"/>
          <w:i/>
        </w:rPr>
        <w:t>AI</w:t>
      </w:r>
      <w:r w:rsidRPr="0097161D">
        <w:rPr>
          <w:rFonts w:ascii="Palatino Linotype" w:hAnsi="Palatino Linotype"/>
        </w:rPr>
        <w:t>: 5</w:t>
      </w:r>
      <w:r>
        <w:rPr>
          <w:rFonts w:ascii="Palatino Linotype" w:hAnsi="Palatino Linotype"/>
        </w:rPr>
        <w:t>.</w:t>
      </w:r>
    </w:p>
  </w:footnote>
  <w:footnote w:id="15">
    <w:p w:rsidR="00A15CD3" w:rsidRPr="0097161D" w:rsidRDefault="00A15CD3" w:rsidP="001761FF">
      <w:pPr>
        <w:pStyle w:val="FootnoteText"/>
        <w:ind w:left="90" w:hanging="90"/>
        <w:jc w:val="both"/>
        <w:rPr>
          <w:rFonts w:ascii="Palatino Linotype" w:hAnsi="Palatino Linotype"/>
          <w:lang w:val="en-US"/>
        </w:rPr>
      </w:pPr>
      <w:r w:rsidRPr="0097161D">
        <w:rPr>
          <w:rStyle w:val="FootnoteReference"/>
          <w:rFonts w:ascii="Palatino Linotype" w:hAnsi="Palatino Linotype"/>
        </w:rPr>
        <w:footnoteRef/>
      </w:r>
      <w:r w:rsidRPr="0097161D">
        <w:rPr>
          <w:rFonts w:ascii="Palatino Linotype" w:hAnsi="Palatino Linotype"/>
        </w:rPr>
        <w:t xml:space="preserve"> </w:t>
      </w:r>
      <w:r w:rsidRPr="005B4060">
        <w:rPr>
          <w:rFonts w:ascii="Palatino Linotype" w:hAnsi="Palatino Linotype"/>
          <w:lang w:val="en-US"/>
        </w:rPr>
        <w:t xml:space="preserve">Barbara A. Reeves-Ellington, ‘Zornitsa: The Protestant Press and the Language of Moral Reform in Bulgarian Nationalism, 1864-1876’, </w:t>
      </w:r>
      <w:r w:rsidRPr="005B4060">
        <w:rPr>
          <w:rFonts w:ascii="Palatino Linotype" w:hAnsi="Palatino Linotype"/>
        </w:rPr>
        <w:t>Presented at: Middle East Studies Association (of North America) Annual Conference (</w:t>
      </w:r>
      <w:r>
        <w:rPr>
          <w:rFonts w:ascii="Palatino Linotype" w:hAnsi="Palatino Linotype"/>
        </w:rPr>
        <w:t xml:space="preserve">Boston, 19 November 2006); </w:t>
      </w:r>
      <w:r w:rsidRPr="0097161D">
        <w:rPr>
          <w:rFonts w:ascii="Palatino Linotype" w:hAnsi="Palatino Linotype"/>
          <w:lang w:val="en-US"/>
        </w:rPr>
        <w:t>C. Richard King</w:t>
      </w:r>
      <w:r>
        <w:rPr>
          <w:rFonts w:ascii="Palatino Linotype" w:hAnsi="Palatino Linotype"/>
          <w:lang w:val="en-US"/>
        </w:rPr>
        <w:t>, (ed</w:t>
      </w:r>
      <w:r w:rsidRPr="0097161D">
        <w:rPr>
          <w:rFonts w:ascii="Palatino Linotype" w:hAnsi="Palatino Linotype"/>
          <w:lang w:val="en-US"/>
        </w:rPr>
        <w:t xml:space="preserve">.), </w:t>
      </w:r>
      <w:r w:rsidRPr="0097161D">
        <w:rPr>
          <w:rFonts w:ascii="Palatino Linotype" w:hAnsi="Palatino Linotype"/>
          <w:i/>
          <w:lang w:val="en-US"/>
        </w:rPr>
        <w:t>Postcolonial America</w:t>
      </w:r>
      <w:r>
        <w:rPr>
          <w:rFonts w:ascii="Palatino Linotype" w:hAnsi="Palatino Linotype"/>
          <w:lang w:val="en-US"/>
        </w:rPr>
        <w:t xml:space="preserve"> (</w:t>
      </w:r>
      <w:r w:rsidRPr="0097161D">
        <w:rPr>
          <w:rFonts w:ascii="Palatino Linotype" w:hAnsi="Palatino Linotype"/>
          <w:lang w:val="en-US"/>
        </w:rPr>
        <w:t>Urbana: University of Illinois Press, 2000):</w:t>
      </w:r>
      <w:r w:rsidRPr="0097161D">
        <w:rPr>
          <w:rFonts w:ascii="Palatino Linotype" w:hAnsi="Palatino Linotype"/>
          <w:i/>
          <w:lang w:val="en-US"/>
        </w:rPr>
        <w:t xml:space="preserve"> </w:t>
      </w:r>
      <w:r w:rsidRPr="0097161D">
        <w:rPr>
          <w:rFonts w:ascii="Palatino Linotype" w:hAnsi="Palatino Linotype"/>
          <w:lang w:val="en-US"/>
        </w:rPr>
        <w:t xml:space="preserve">4-5. </w:t>
      </w:r>
    </w:p>
  </w:footnote>
  <w:footnote w:id="16">
    <w:p w:rsidR="00A15CD3" w:rsidRPr="0097161D" w:rsidRDefault="00A15CD3" w:rsidP="001761FF">
      <w:pPr>
        <w:pStyle w:val="FootnoteText"/>
        <w:ind w:left="90" w:hanging="90"/>
        <w:jc w:val="both"/>
        <w:rPr>
          <w:rFonts w:ascii="Palatino Linotype" w:hAnsi="Palatino Linotype"/>
        </w:rPr>
      </w:pPr>
      <w:r w:rsidRPr="0097161D">
        <w:rPr>
          <w:rStyle w:val="FootnoteReference"/>
          <w:rFonts w:ascii="Palatino Linotype" w:hAnsi="Palatino Linotype"/>
        </w:rPr>
        <w:footnoteRef/>
      </w:r>
      <w:r w:rsidRPr="0097161D">
        <w:rPr>
          <w:rFonts w:ascii="Palatino Linotype" w:hAnsi="Palatino Linotype"/>
        </w:rPr>
        <w:t xml:space="preserve"> </w:t>
      </w:r>
      <w:r>
        <w:rPr>
          <w:rFonts w:ascii="Palatino Linotype" w:hAnsi="Palatino Linotype"/>
          <w:lang w:val="en-US"/>
        </w:rPr>
        <w:t>The</w:t>
      </w:r>
      <w:r w:rsidRPr="0097161D">
        <w:rPr>
          <w:rFonts w:ascii="Palatino Linotype" w:hAnsi="Palatino Linotype"/>
          <w:lang w:val="en-US"/>
        </w:rPr>
        <w:t xml:space="preserve"> relationship between ‘Manifest Destiny’ and American missionaries to Syria</w:t>
      </w:r>
      <w:r>
        <w:rPr>
          <w:rFonts w:ascii="Palatino Linotype" w:hAnsi="Palatino Linotype"/>
          <w:lang w:val="en-US"/>
        </w:rPr>
        <w:t xml:space="preserve"> are problematised in</w:t>
      </w:r>
      <w:r w:rsidRPr="0097161D">
        <w:rPr>
          <w:rFonts w:ascii="Palatino Linotype" w:hAnsi="Palatino Linotype"/>
          <w:lang w:val="en-US"/>
        </w:rPr>
        <w:t xml:space="preserve"> </w:t>
      </w:r>
      <w:r w:rsidRPr="0097161D">
        <w:rPr>
          <w:rFonts w:ascii="Palatino Linotype" w:hAnsi="Palatino Linotype"/>
        </w:rPr>
        <w:t>Badr, ‘Missions to “Nominal Christians”</w:t>
      </w:r>
      <w:r>
        <w:rPr>
          <w:rFonts w:ascii="Palatino Linotype" w:hAnsi="Palatino Linotype"/>
        </w:rPr>
        <w:t>’</w:t>
      </w:r>
      <w:r w:rsidRPr="0097161D">
        <w:rPr>
          <w:rFonts w:ascii="Palatino Linotype" w:hAnsi="Palatino Linotype"/>
        </w:rPr>
        <w:t xml:space="preserve">: 4; Eleanor Abdella Doumato, ‘Missionary Transformations: Gender, Culture and Identity in the Middle East’, </w:t>
      </w:r>
      <w:r w:rsidRPr="0097161D">
        <w:rPr>
          <w:rFonts w:ascii="Palatino Linotype" w:hAnsi="Palatino Linotype"/>
          <w:i/>
        </w:rPr>
        <w:t xml:space="preserve">ICMR </w:t>
      </w:r>
      <w:r w:rsidRPr="0097161D">
        <w:rPr>
          <w:rFonts w:ascii="Palatino Linotype" w:hAnsi="Palatino Linotype"/>
        </w:rPr>
        <w:t>13:4 (2002): 375.</w:t>
      </w:r>
    </w:p>
  </w:footnote>
  <w:footnote w:id="17">
    <w:p w:rsidR="00A15CD3" w:rsidRPr="0097161D" w:rsidRDefault="00A15CD3" w:rsidP="001761FF">
      <w:pPr>
        <w:pStyle w:val="FootnoteText"/>
        <w:ind w:left="90" w:hanging="90"/>
        <w:jc w:val="both"/>
        <w:rPr>
          <w:rFonts w:ascii="Palatino Linotype" w:hAnsi="Palatino Linotype"/>
          <w:lang w:val="en-US"/>
        </w:rPr>
      </w:pPr>
      <w:r w:rsidRPr="0097161D">
        <w:rPr>
          <w:rStyle w:val="FootnoteReference"/>
          <w:rFonts w:ascii="Palatino Linotype" w:hAnsi="Palatino Linotype"/>
        </w:rPr>
        <w:footnoteRef/>
      </w:r>
      <w:r w:rsidRPr="0097161D">
        <w:rPr>
          <w:rFonts w:ascii="Palatino Linotype" w:hAnsi="Palatino Linotype"/>
        </w:rPr>
        <w:t xml:space="preserve"> </w:t>
      </w:r>
      <w:r w:rsidRPr="0097161D">
        <w:rPr>
          <w:rFonts w:ascii="Palatino Linotype" w:hAnsi="Palatino Linotype"/>
          <w:lang w:val="en-US"/>
        </w:rPr>
        <w:t>Comaroff and Comaroff,</w:t>
      </w:r>
      <w:r>
        <w:rPr>
          <w:rFonts w:ascii="Palatino Linotype" w:hAnsi="Palatino Linotype"/>
          <w:lang w:val="en-US"/>
        </w:rPr>
        <w:t xml:space="preserve"> </w:t>
      </w:r>
      <w:r w:rsidRPr="00764650">
        <w:rPr>
          <w:rFonts w:ascii="Palatino Linotype" w:hAnsi="Palatino Linotype"/>
          <w:i/>
          <w:lang w:val="en-US"/>
        </w:rPr>
        <w:t>RR: I</w:t>
      </w:r>
      <w:r w:rsidRPr="002A7A6B">
        <w:rPr>
          <w:rFonts w:ascii="Palatino Linotype" w:hAnsi="Palatino Linotype"/>
        </w:rPr>
        <w:t xml:space="preserve">; </w:t>
      </w:r>
      <w:r w:rsidRPr="0097161D">
        <w:rPr>
          <w:rFonts w:ascii="Palatino Linotype" w:hAnsi="Palatino Linotype"/>
        </w:rPr>
        <w:t xml:space="preserve">Comaroff and Comaroff, </w:t>
      </w:r>
      <w:r>
        <w:rPr>
          <w:rFonts w:ascii="Palatino Linotype" w:hAnsi="Palatino Linotype"/>
          <w:i/>
        </w:rPr>
        <w:t>RR</w:t>
      </w:r>
      <w:r w:rsidRPr="0097161D">
        <w:rPr>
          <w:rFonts w:ascii="Palatino Linotype" w:hAnsi="Palatino Linotype"/>
          <w:i/>
        </w:rPr>
        <w:t>: II</w:t>
      </w:r>
      <w:r w:rsidRPr="0097161D">
        <w:rPr>
          <w:rFonts w:ascii="Palatino Linotype" w:hAnsi="Palatino Linotype"/>
        </w:rPr>
        <w:t>.</w:t>
      </w:r>
    </w:p>
  </w:footnote>
  <w:footnote w:id="18">
    <w:p w:rsidR="00A15CD3" w:rsidRPr="0097161D" w:rsidRDefault="00A15CD3" w:rsidP="001761FF">
      <w:pPr>
        <w:pStyle w:val="FootnoteText"/>
        <w:ind w:left="90" w:hanging="90"/>
        <w:jc w:val="both"/>
        <w:rPr>
          <w:rFonts w:ascii="Palatino Linotype" w:hAnsi="Palatino Linotype"/>
        </w:rPr>
      </w:pPr>
      <w:r w:rsidRPr="0097161D">
        <w:rPr>
          <w:rStyle w:val="FootnoteReference"/>
          <w:rFonts w:ascii="Palatino Linotype" w:hAnsi="Palatino Linotype"/>
        </w:rPr>
        <w:footnoteRef/>
      </w:r>
      <w:r w:rsidRPr="0097161D">
        <w:rPr>
          <w:rFonts w:ascii="Palatino Linotype" w:hAnsi="Palatino Linotype"/>
        </w:rPr>
        <w:t xml:space="preserve"> Ussama Makdisi, </w:t>
      </w:r>
      <w:r w:rsidRPr="0097161D">
        <w:rPr>
          <w:rFonts w:ascii="Palatino Linotype" w:hAnsi="Palatino Linotype"/>
          <w:i/>
        </w:rPr>
        <w:t>Artillery of Heaven: American Missionaries and the Failed Conversion of the Middle East</w:t>
      </w:r>
      <w:r>
        <w:rPr>
          <w:rFonts w:ascii="Palatino Linotype" w:hAnsi="Palatino Linotype"/>
        </w:rPr>
        <w:t xml:space="preserve"> (</w:t>
      </w:r>
      <w:r w:rsidRPr="0097161D">
        <w:rPr>
          <w:rFonts w:ascii="Palatino Linotype" w:hAnsi="Palatino Linotype"/>
        </w:rPr>
        <w:t>Ithaca and London: Cornell University Press, 2008); Jens Hanssen, Thomas Philipp and Stefan Weber</w:t>
      </w:r>
      <w:r>
        <w:rPr>
          <w:rFonts w:ascii="Palatino Linotype" w:hAnsi="Palatino Linotype"/>
        </w:rPr>
        <w:t>, (ed</w:t>
      </w:r>
      <w:r w:rsidRPr="0097161D">
        <w:rPr>
          <w:rFonts w:ascii="Palatino Linotype" w:hAnsi="Palatino Linotype"/>
        </w:rPr>
        <w:t xml:space="preserve">s.), </w:t>
      </w:r>
      <w:r w:rsidRPr="0097161D">
        <w:rPr>
          <w:rFonts w:ascii="Palatino Linotype" w:hAnsi="Palatino Linotype"/>
          <w:i/>
        </w:rPr>
        <w:t>The Empire and the City: Arab Provincial Capitals in the Late Ottoman Empire</w:t>
      </w:r>
      <w:r>
        <w:rPr>
          <w:rFonts w:ascii="Palatino Linotype" w:hAnsi="Palatino Linotype"/>
        </w:rPr>
        <w:t xml:space="preserve"> (</w:t>
      </w:r>
      <w:r w:rsidRPr="0097161D">
        <w:rPr>
          <w:rFonts w:ascii="Palatino Linotype" w:hAnsi="Palatino Linotype"/>
        </w:rPr>
        <w:t xml:space="preserve">Beirut: </w:t>
      </w:r>
      <w:r w:rsidRPr="0097161D">
        <w:rPr>
          <w:rFonts w:ascii="Palatino Linotype" w:hAnsi="Palatino Linotype"/>
          <w:lang w:val="en-US"/>
        </w:rPr>
        <w:t>Ergon Verlag Würz</w:t>
      </w:r>
      <w:r>
        <w:rPr>
          <w:rFonts w:ascii="Palatino Linotype" w:hAnsi="Palatino Linotype"/>
          <w:lang w:val="en-US"/>
        </w:rPr>
        <w:t>Berg</w:t>
      </w:r>
      <w:r w:rsidRPr="0097161D">
        <w:rPr>
          <w:rFonts w:ascii="Palatino Linotype" w:hAnsi="Palatino Linotype"/>
          <w:lang w:val="en-US"/>
        </w:rPr>
        <w:t xml:space="preserve"> in Kommission</w:t>
      </w:r>
      <w:r w:rsidRPr="0097161D">
        <w:rPr>
          <w:rFonts w:ascii="Palatino Linotype" w:hAnsi="Palatino Linotype"/>
        </w:rPr>
        <w:t xml:space="preserve">, 2002): 16. </w:t>
      </w:r>
    </w:p>
  </w:footnote>
  <w:footnote w:id="19">
    <w:p w:rsidR="00A15CD3" w:rsidRPr="00A86CF5" w:rsidRDefault="00A15CD3" w:rsidP="001761FF">
      <w:pPr>
        <w:pStyle w:val="FootnoteText"/>
        <w:ind w:left="90" w:hanging="90"/>
        <w:jc w:val="both"/>
        <w:rPr>
          <w:rFonts w:ascii="Palatino Linotype" w:hAnsi="Palatino Linotype"/>
          <w:lang w:val="en-US"/>
        </w:rPr>
      </w:pPr>
      <w:r w:rsidRPr="00A86CF5">
        <w:rPr>
          <w:rStyle w:val="FootnoteReference"/>
          <w:rFonts w:ascii="Palatino Linotype" w:hAnsi="Palatino Linotype"/>
        </w:rPr>
        <w:footnoteRef/>
      </w:r>
      <w:r w:rsidRPr="00A86CF5">
        <w:rPr>
          <w:rFonts w:ascii="Palatino Linotype" w:hAnsi="Palatino Linotype"/>
        </w:rPr>
        <w:t xml:space="preserve"> Hall, ‘Cultural Identity and Diaspora’: 222-37; Homi Bhabha, </w:t>
      </w:r>
      <w:r w:rsidRPr="00A86CF5">
        <w:rPr>
          <w:rFonts w:ascii="Palatino Linotype" w:hAnsi="Palatino Linotype"/>
          <w:i/>
        </w:rPr>
        <w:t>Location of Culture</w:t>
      </w:r>
      <w:r w:rsidRPr="00A86CF5">
        <w:rPr>
          <w:rFonts w:ascii="Palatino Linotype" w:hAnsi="Palatino Linotype"/>
          <w:i/>
          <w:iCs/>
        </w:rPr>
        <w:t xml:space="preserve">. </w:t>
      </w:r>
      <w:r w:rsidRPr="00A86CF5">
        <w:rPr>
          <w:rFonts w:ascii="Palatino Linotype" w:hAnsi="Palatino Linotype"/>
          <w:iCs/>
        </w:rPr>
        <w:t>(</w:t>
      </w:r>
      <w:r w:rsidRPr="00A86CF5">
        <w:rPr>
          <w:rFonts w:ascii="Palatino Linotype" w:hAnsi="Palatino Linotype"/>
        </w:rPr>
        <w:t xml:space="preserve">London: Routledge, 1995); Avtar Brah, ‘Diaspora, Border and Transnational Identities’, in: R. Lewis and S. Mills, (eds.), </w:t>
      </w:r>
      <w:r w:rsidRPr="00A86CF5">
        <w:rPr>
          <w:rFonts w:ascii="Palatino Linotype" w:hAnsi="Palatino Linotype"/>
          <w:i/>
        </w:rPr>
        <w:t xml:space="preserve">Feminist Postcolonial Theory: A Reader </w:t>
      </w:r>
      <w:r w:rsidRPr="002A7A6B">
        <w:rPr>
          <w:rFonts w:ascii="Palatino Linotype" w:hAnsi="Palatino Linotype"/>
        </w:rPr>
        <w:t>(</w:t>
      </w:r>
      <w:r w:rsidRPr="00A86CF5">
        <w:rPr>
          <w:rFonts w:ascii="Palatino Linotype" w:hAnsi="Palatino Linotype"/>
        </w:rPr>
        <w:t>New York: Routledge, 2003): 613-634.</w:t>
      </w:r>
    </w:p>
  </w:footnote>
  <w:footnote w:id="20">
    <w:p w:rsidR="00A15CD3" w:rsidRPr="004A062D" w:rsidRDefault="00A15CD3" w:rsidP="001761FF">
      <w:pPr>
        <w:pStyle w:val="FootnoteText"/>
        <w:ind w:left="90" w:hanging="90"/>
        <w:jc w:val="both"/>
        <w:rPr>
          <w:rFonts w:ascii="Palatino Linotype" w:hAnsi="Palatino Linotype"/>
        </w:rPr>
      </w:pPr>
      <w:r w:rsidRPr="0097161D">
        <w:rPr>
          <w:rStyle w:val="FootnoteReference"/>
          <w:rFonts w:ascii="Palatino Linotype" w:hAnsi="Palatino Linotype"/>
        </w:rPr>
        <w:footnoteRef/>
      </w:r>
      <w:r w:rsidRPr="0097161D">
        <w:rPr>
          <w:rFonts w:ascii="Palatino Linotype" w:hAnsi="Palatino Linotype"/>
        </w:rPr>
        <w:t xml:space="preserve"> </w:t>
      </w:r>
      <w:r w:rsidRPr="0097161D">
        <w:rPr>
          <w:rFonts w:ascii="Palatino Linotype" w:hAnsi="Palatino Linotype"/>
          <w:lang w:val="en-US"/>
        </w:rPr>
        <w:t>These include two panels at the Middle East Studies Association (of North America) Annual Conference</w:t>
      </w:r>
      <w:r>
        <w:rPr>
          <w:rFonts w:ascii="Palatino Linotype" w:hAnsi="Palatino Linotype"/>
          <w:lang w:val="en-US"/>
        </w:rPr>
        <w:t xml:space="preserve"> (</w:t>
      </w:r>
      <w:r w:rsidRPr="0097161D">
        <w:rPr>
          <w:rFonts w:ascii="Palatino Linotype" w:hAnsi="Palatino Linotype"/>
          <w:lang w:val="en-US"/>
        </w:rPr>
        <w:t>Boston, November 2006)</w:t>
      </w:r>
      <w:r>
        <w:rPr>
          <w:rFonts w:ascii="Palatino Linotype" w:hAnsi="Palatino Linotype"/>
          <w:lang w:val="en-US"/>
        </w:rPr>
        <w:t>; the</w:t>
      </w:r>
      <w:r w:rsidRPr="0097161D">
        <w:rPr>
          <w:rFonts w:ascii="Palatino Linotype" w:hAnsi="Palatino Linotype"/>
          <w:lang w:val="en-US"/>
        </w:rPr>
        <w:t xml:space="preserve"> Christian Missionaries in the Middle East: Re-Thinking Colonial Encounters Workshop</w:t>
      </w:r>
      <w:r>
        <w:rPr>
          <w:rFonts w:ascii="Palatino Linotype" w:hAnsi="Palatino Linotype"/>
          <w:lang w:val="en-US"/>
        </w:rPr>
        <w:t xml:space="preserve"> (</w:t>
      </w:r>
      <w:r w:rsidRPr="0097161D">
        <w:rPr>
          <w:rFonts w:ascii="Palatino Linotype" w:hAnsi="Palatino Linotype"/>
          <w:lang w:val="en-US"/>
        </w:rPr>
        <w:t>Raleigh, North Carolina, 4-5 May 2007);</w:t>
      </w:r>
      <w:r>
        <w:rPr>
          <w:rFonts w:ascii="Palatino Linotype" w:hAnsi="Palatino Linotype"/>
          <w:lang w:val="en-US"/>
        </w:rPr>
        <w:t xml:space="preserve"> and the</w:t>
      </w:r>
      <w:r>
        <w:rPr>
          <w:rFonts w:ascii="Palatino Linotype" w:hAnsi="Palatino Linotype"/>
        </w:rPr>
        <w:t xml:space="preserve"> edited volumes:</w:t>
      </w:r>
      <w:r w:rsidRPr="0097161D">
        <w:rPr>
          <w:rFonts w:ascii="Palatino Linotype" w:hAnsi="Palatino Linotype"/>
        </w:rPr>
        <w:t xml:space="preserve"> </w:t>
      </w:r>
      <w:r w:rsidRPr="0097161D">
        <w:rPr>
          <w:rFonts w:ascii="Palatino Linotype" w:hAnsi="Palatino Linotype"/>
          <w:i/>
        </w:rPr>
        <w:t>IMCR</w:t>
      </w:r>
      <w:r>
        <w:rPr>
          <w:rFonts w:ascii="Palatino Linotype" w:hAnsi="Palatino Linotype"/>
        </w:rPr>
        <w:t xml:space="preserve"> 13: 4 (2002);</w:t>
      </w:r>
      <w:r w:rsidRPr="0097161D">
        <w:rPr>
          <w:rFonts w:ascii="Palatino Linotype" w:hAnsi="Palatino Linotype"/>
        </w:rPr>
        <w:t xml:space="preserve"> Tejirian and Simon, </w:t>
      </w:r>
      <w:r w:rsidRPr="0097161D">
        <w:rPr>
          <w:rFonts w:ascii="Palatino Linotype" w:hAnsi="Palatino Linotype"/>
          <w:i/>
        </w:rPr>
        <w:t>AI</w:t>
      </w:r>
      <w:r w:rsidRPr="0097161D">
        <w:rPr>
          <w:rFonts w:ascii="Palatino Linotype" w:hAnsi="Palatino Linotype"/>
        </w:rPr>
        <w:t xml:space="preserve">; </w:t>
      </w:r>
      <w:r w:rsidRPr="0097161D">
        <w:rPr>
          <w:rFonts w:ascii="Palatino Linotype" w:hAnsi="Palatino Linotype"/>
          <w:lang w:val="en-US"/>
        </w:rPr>
        <w:t xml:space="preserve">Murre-van den Berg, </w:t>
      </w:r>
      <w:r w:rsidRPr="0097161D">
        <w:rPr>
          <w:rFonts w:ascii="Palatino Linotype" w:hAnsi="Palatino Linotype"/>
          <w:i/>
          <w:lang w:val="en-US"/>
        </w:rPr>
        <w:t>NFAL</w:t>
      </w:r>
      <w:r w:rsidRPr="0097161D">
        <w:rPr>
          <w:rFonts w:ascii="Palatino Linotype" w:hAnsi="Palatino Linotype"/>
          <w:lang w:val="en-US"/>
        </w:rPr>
        <w:t xml:space="preserve">; </w:t>
      </w:r>
      <w:r>
        <w:rPr>
          <w:rFonts w:ascii="Palatino Linotype" w:hAnsi="Palatino Linotype"/>
        </w:rPr>
        <w:t>Tamcke</w:t>
      </w:r>
      <w:r w:rsidRPr="0097161D">
        <w:rPr>
          <w:rFonts w:ascii="Palatino Linotype" w:hAnsi="Palatino Linotype"/>
        </w:rPr>
        <w:t xml:space="preserve"> and Marten, </w:t>
      </w:r>
      <w:r>
        <w:rPr>
          <w:rFonts w:ascii="Palatino Linotype" w:hAnsi="Palatino Linotype"/>
          <w:i/>
        </w:rPr>
        <w:t>CWBCNB</w:t>
      </w:r>
      <w:r>
        <w:rPr>
          <w:rFonts w:ascii="Palatino Linotype" w:hAnsi="Palatino Linotype"/>
        </w:rPr>
        <w:t>.</w:t>
      </w:r>
    </w:p>
  </w:footnote>
  <w:footnote w:id="21">
    <w:p w:rsidR="00A15CD3" w:rsidRPr="0097161D" w:rsidRDefault="00A15CD3" w:rsidP="001761FF">
      <w:pPr>
        <w:pStyle w:val="FootnoteText"/>
        <w:ind w:left="90" w:hanging="90"/>
        <w:jc w:val="both"/>
        <w:rPr>
          <w:rFonts w:ascii="Palatino Linotype" w:hAnsi="Palatino Linotype"/>
        </w:rPr>
      </w:pPr>
      <w:r w:rsidRPr="0097161D">
        <w:rPr>
          <w:rStyle w:val="FootnoteReference"/>
          <w:rFonts w:ascii="Palatino Linotype" w:hAnsi="Palatino Linotype"/>
        </w:rPr>
        <w:footnoteRef/>
      </w:r>
      <w:r w:rsidRPr="0097161D">
        <w:rPr>
          <w:rFonts w:ascii="Palatino Linotype" w:hAnsi="Palatino Linotype"/>
        </w:rPr>
        <w:t xml:space="preserve"> </w:t>
      </w:r>
      <w:r w:rsidRPr="00C839A1">
        <w:rPr>
          <w:rFonts w:ascii="Palatino Linotype" w:hAnsi="Palatino Linotype"/>
        </w:rPr>
        <w:t xml:space="preserve">Abdul Latif Tibawi, </w:t>
      </w:r>
      <w:r w:rsidRPr="00C839A1">
        <w:rPr>
          <w:rFonts w:ascii="Palatino Linotype" w:hAnsi="Palatino Linotype"/>
          <w:i/>
        </w:rPr>
        <w:t>British Interests in Palestine: 1800-1901: A Study of Religious and Educational Enterprise (</w:t>
      </w:r>
      <w:r w:rsidRPr="00C839A1">
        <w:rPr>
          <w:rFonts w:ascii="Palatino Linotype" w:hAnsi="Palatino Linotype"/>
        </w:rPr>
        <w:t xml:space="preserve">Oxford: Oxford University Press 1961); </w:t>
      </w:r>
      <w:r w:rsidRPr="0097161D">
        <w:rPr>
          <w:rFonts w:ascii="Palatino Linotype" w:hAnsi="Palatino Linotype"/>
        </w:rPr>
        <w:t xml:space="preserve">Heather J. Sharkey, </w:t>
      </w:r>
      <w:r w:rsidRPr="0097161D">
        <w:rPr>
          <w:rFonts w:ascii="Palatino Linotype" w:hAnsi="Palatino Linotype"/>
          <w:i/>
        </w:rPr>
        <w:t>Living with Colonialism: Nationalism and Culture in the Anglo-Egyptian Sudan</w:t>
      </w:r>
      <w:r>
        <w:rPr>
          <w:rFonts w:ascii="Palatino Linotype" w:hAnsi="Palatino Linotype"/>
        </w:rPr>
        <w:t xml:space="preserve"> (</w:t>
      </w:r>
      <w:r w:rsidRPr="0097161D">
        <w:rPr>
          <w:rFonts w:ascii="Palatino Linotype" w:hAnsi="Palatino Linotype"/>
        </w:rPr>
        <w:t xml:space="preserve">Berkeley, University of California Press, 2003); Reeva Spector Simon, ‘The Case of the Curse: The London Society for Promoting Christianity Amongst the Jews and the Jews of Bagdad’, in: Tejirian and Simon, </w:t>
      </w:r>
      <w:r w:rsidRPr="0097161D">
        <w:rPr>
          <w:rFonts w:ascii="Palatino Linotype" w:hAnsi="Palatino Linotype"/>
          <w:i/>
        </w:rPr>
        <w:t>AI</w:t>
      </w:r>
      <w:r>
        <w:rPr>
          <w:rFonts w:ascii="Palatino Linotype" w:hAnsi="Palatino Linotype"/>
        </w:rPr>
        <w:t xml:space="preserve">: 45-65; </w:t>
      </w:r>
      <w:r w:rsidRPr="00C839A1">
        <w:rPr>
          <w:rFonts w:ascii="Palatino Linotype" w:hAnsi="Palatino Linotype"/>
        </w:rPr>
        <w:t xml:space="preserve">Nancy L. Stockdale, </w:t>
      </w:r>
      <w:r w:rsidRPr="00C839A1">
        <w:rPr>
          <w:rFonts w:ascii="Palatino Linotype" w:hAnsi="Palatino Linotype"/>
          <w:i/>
        </w:rPr>
        <w:t>Colonial Encounters among English and Palestinian Women, 1800-1948</w:t>
      </w:r>
      <w:r w:rsidRPr="00C839A1">
        <w:rPr>
          <w:rFonts w:ascii="Palatino Linotype" w:hAnsi="Palatino Linotype"/>
        </w:rPr>
        <w:t xml:space="preserve"> (Gainsville: Uni</w:t>
      </w:r>
      <w:r>
        <w:rPr>
          <w:rFonts w:ascii="Palatino Linotype" w:hAnsi="Palatino Linotype"/>
        </w:rPr>
        <w:t xml:space="preserve">versity Press of Florida, 2007); </w:t>
      </w:r>
      <w:r w:rsidRPr="00C839A1">
        <w:rPr>
          <w:rFonts w:ascii="Palatino Linotype" w:hAnsi="Palatino Linotype"/>
        </w:rPr>
        <w:t xml:space="preserve">Abdul Latif Tibawi, </w:t>
      </w:r>
      <w:r w:rsidRPr="00C839A1">
        <w:rPr>
          <w:rFonts w:ascii="Palatino Linotype" w:hAnsi="Palatino Linotype"/>
          <w:i/>
        </w:rPr>
        <w:t>American Interests in Syria: 1800-1901: A Study of Education, Literary and Religious Works</w:t>
      </w:r>
      <w:r w:rsidRPr="00C839A1">
        <w:rPr>
          <w:rFonts w:ascii="Palatino Linotype" w:hAnsi="Palatino Linotype"/>
        </w:rPr>
        <w:t xml:space="preserve"> (Oxford: Claredon Press, 1966); Makdisi, </w:t>
      </w:r>
      <w:r w:rsidRPr="00C839A1">
        <w:rPr>
          <w:rFonts w:ascii="Palatino Linotype" w:hAnsi="Palatino Linotype"/>
          <w:i/>
        </w:rPr>
        <w:t>Artillery of Heaven</w:t>
      </w:r>
      <w:r w:rsidRPr="00C839A1">
        <w:rPr>
          <w:rFonts w:ascii="Palatino Linotype" w:hAnsi="Palatino Linotype"/>
        </w:rPr>
        <w:t>;</w:t>
      </w:r>
      <w:r>
        <w:rPr>
          <w:rFonts w:ascii="Palatino Linotype" w:hAnsi="Palatino Linotype"/>
        </w:rPr>
        <w:t xml:space="preserve"> </w:t>
      </w:r>
      <w:r w:rsidRPr="00C839A1">
        <w:rPr>
          <w:rFonts w:ascii="Palatino Linotype" w:hAnsi="Palatino Linotype"/>
        </w:rPr>
        <w:t xml:space="preserve">Bernard Heyberger, ‘Individualism and Political Modernity: Devout Catholic Women in Aleppo and Lebanon Between the Seventeenth and Nineteenth Centuries’, in: A. </w:t>
      </w:r>
      <w:r w:rsidRPr="00C839A1">
        <w:rPr>
          <w:rFonts w:ascii="Palatino Linotype" w:hAnsi="Palatino Linotype"/>
          <w:lang w:val="en-US"/>
        </w:rPr>
        <w:t>Sonbol</w:t>
      </w:r>
      <w:r>
        <w:rPr>
          <w:rFonts w:ascii="Palatino Linotype" w:hAnsi="Palatino Linotype"/>
          <w:lang w:val="en-US"/>
        </w:rPr>
        <w:t>, (ed</w:t>
      </w:r>
      <w:r w:rsidRPr="00C839A1">
        <w:rPr>
          <w:rFonts w:ascii="Palatino Linotype" w:hAnsi="Palatino Linotype"/>
          <w:lang w:val="en-US"/>
        </w:rPr>
        <w:t xml:space="preserve">.), </w:t>
      </w:r>
      <w:r w:rsidRPr="00C839A1">
        <w:rPr>
          <w:rFonts w:ascii="Palatino Linotype" w:hAnsi="Palatino Linotype"/>
          <w:i/>
          <w:lang w:val="en-US"/>
        </w:rPr>
        <w:t>Beyond the Exotic: Women’s History in Islamic Societies (</w:t>
      </w:r>
      <w:r w:rsidRPr="00C839A1">
        <w:rPr>
          <w:rFonts w:ascii="Palatino Linotype" w:hAnsi="Palatino Linotype"/>
          <w:lang w:val="en-US"/>
        </w:rPr>
        <w:t>Syracuse: Syracuse University Press,2005): 71-84;</w:t>
      </w:r>
      <w:r w:rsidRPr="00C839A1">
        <w:rPr>
          <w:rFonts w:ascii="Palatino Linotype" w:hAnsi="Palatino Linotype"/>
        </w:rPr>
        <w:t xml:space="preserve"> Uwe Kaminsky, ‘German ‘Home Mission’ Abroad: The </w:t>
      </w:r>
      <w:r w:rsidRPr="00C839A1">
        <w:rPr>
          <w:rFonts w:ascii="Palatino Linotype" w:hAnsi="Palatino Linotype"/>
          <w:i/>
        </w:rPr>
        <w:t>Orientarbeit</w:t>
      </w:r>
      <w:r w:rsidRPr="00C839A1">
        <w:rPr>
          <w:rFonts w:ascii="Palatino Linotype" w:hAnsi="Palatino Linotype"/>
        </w:rPr>
        <w:t xml:space="preserve"> of the Deaconess Institute Kaiserswerth in the Ottoman Empire’, in: </w:t>
      </w:r>
      <w:r w:rsidRPr="00C839A1">
        <w:rPr>
          <w:rFonts w:ascii="Palatino Linotype" w:hAnsi="Palatino Linotype"/>
          <w:lang w:val="en-US"/>
        </w:rPr>
        <w:t xml:space="preserve">Murre-van den Berg, </w:t>
      </w:r>
      <w:r w:rsidRPr="00C839A1">
        <w:rPr>
          <w:rFonts w:ascii="Palatino Linotype" w:hAnsi="Palatino Linotype"/>
          <w:i/>
          <w:lang w:val="en-US"/>
        </w:rPr>
        <w:t>NFAL:</w:t>
      </w:r>
      <w:r w:rsidRPr="00C839A1">
        <w:rPr>
          <w:rFonts w:ascii="Palatino Linotype" w:hAnsi="Palatino Linotype"/>
        </w:rPr>
        <w:t xml:space="preserve"> 191-209</w:t>
      </w:r>
    </w:p>
  </w:footnote>
  <w:footnote w:id="22">
    <w:p w:rsidR="00A15CD3" w:rsidRPr="0097161D" w:rsidRDefault="00A15CD3" w:rsidP="001761FF">
      <w:pPr>
        <w:pStyle w:val="FootnoteText"/>
        <w:ind w:left="90" w:hanging="90"/>
        <w:jc w:val="both"/>
        <w:rPr>
          <w:rFonts w:ascii="Palatino Linotype" w:hAnsi="Palatino Linotype"/>
          <w:lang w:val="en-US"/>
        </w:rPr>
      </w:pPr>
      <w:r w:rsidRPr="0097161D">
        <w:rPr>
          <w:rStyle w:val="FootnoteReference"/>
          <w:rFonts w:ascii="Palatino Linotype" w:hAnsi="Palatino Linotype"/>
        </w:rPr>
        <w:footnoteRef/>
      </w:r>
      <w:r w:rsidRPr="0097161D">
        <w:rPr>
          <w:rFonts w:ascii="Palatino Linotype" w:hAnsi="Palatino Linotype"/>
        </w:rPr>
        <w:t xml:space="preserve"> Makdisi, </w:t>
      </w:r>
      <w:r w:rsidRPr="0097161D">
        <w:rPr>
          <w:rFonts w:ascii="Palatino Linotype" w:hAnsi="Palatino Linotype"/>
          <w:i/>
        </w:rPr>
        <w:t>Artillery of Heaven</w:t>
      </w:r>
      <w:r w:rsidRPr="0097161D">
        <w:rPr>
          <w:rFonts w:ascii="Palatino Linotype" w:hAnsi="Palatino Linotype"/>
        </w:rPr>
        <w:t xml:space="preserve">; Bernard Heyberger, </w:t>
      </w:r>
      <w:r w:rsidRPr="0097161D">
        <w:rPr>
          <w:rFonts w:ascii="Palatino Linotype" w:hAnsi="Palatino Linotype"/>
          <w:i/>
        </w:rPr>
        <w:t>Hindiyya: Mystique et Criminell</w:t>
      </w:r>
      <w:r>
        <w:rPr>
          <w:rFonts w:ascii="Palatino Linotype" w:hAnsi="Palatino Linotype"/>
          <w:i/>
        </w:rPr>
        <w:t>e</w:t>
      </w:r>
      <w:r w:rsidRPr="0097161D">
        <w:rPr>
          <w:rFonts w:ascii="Palatino Linotype" w:hAnsi="Palatino Linotype"/>
          <w:i/>
        </w:rPr>
        <w:t>: 1720-1798</w:t>
      </w:r>
      <w:r>
        <w:rPr>
          <w:rFonts w:ascii="Palatino Linotype" w:hAnsi="Palatino Linotype"/>
          <w:i/>
        </w:rPr>
        <w:t xml:space="preserve"> </w:t>
      </w:r>
      <w:r w:rsidRPr="002A7A6B">
        <w:rPr>
          <w:rFonts w:ascii="Palatino Linotype" w:hAnsi="Palatino Linotype"/>
        </w:rPr>
        <w:t>(</w:t>
      </w:r>
      <w:r w:rsidRPr="0097161D">
        <w:rPr>
          <w:rFonts w:ascii="Palatino Linotype" w:hAnsi="Palatino Linotype"/>
        </w:rPr>
        <w:t xml:space="preserve">Paris: Aubier, 2001); Heyberger, ‘Individualism and Political Modernity’: 71-84; Willy Jansen, ‘Arab Women with a Mission. The Sisters of the Rosary’, in: </w:t>
      </w:r>
      <w:r>
        <w:rPr>
          <w:rFonts w:ascii="Palatino Linotype" w:hAnsi="Palatino Linotype"/>
          <w:lang w:val="en-US"/>
        </w:rPr>
        <w:t>Tamcke</w:t>
      </w:r>
      <w:r w:rsidRPr="00D7656D">
        <w:rPr>
          <w:rFonts w:ascii="Palatino Linotype" w:hAnsi="Palatino Linotype"/>
          <w:lang w:val="en-US"/>
        </w:rPr>
        <w:t xml:space="preserve"> and Marten , </w:t>
      </w:r>
      <w:r w:rsidRPr="00D7656D">
        <w:rPr>
          <w:rFonts w:ascii="Palatino Linotype" w:hAnsi="Palatino Linotype"/>
          <w:i/>
          <w:lang w:val="en-US"/>
        </w:rPr>
        <w:t>CWBCNB,</w:t>
      </w:r>
      <w:r w:rsidRPr="00D7656D">
        <w:rPr>
          <w:rFonts w:ascii="Palatino Linotype" w:hAnsi="Palatino Linotype"/>
          <w:lang w:val="en-US"/>
        </w:rPr>
        <w:t xml:space="preserve"> 41-61</w:t>
      </w:r>
      <w:r w:rsidRPr="0097161D">
        <w:rPr>
          <w:rFonts w:ascii="Palatino Linotype" w:hAnsi="Palatino Linotype"/>
        </w:rPr>
        <w:t>; Willy Jansen, ‘Visions of Mary in the Middle East: Gender and the Power of a Symbol’, in: I. Okkenhaug and I. Flaskerud</w:t>
      </w:r>
      <w:r>
        <w:rPr>
          <w:rFonts w:ascii="Palatino Linotype" w:hAnsi="Palatino Linotype"/>
        </w:rPr>
        <w:t>, (ed</w:t>
      </w:r>
      <w:r w:rsidRPr="0097161D">
        <w:rPr>
          <w:rFonts w:ascii="Palatino Linotype" w:hAnsi="Palatino Linotype"/>
        </w:rPr>
        <w:t xml:space="preserve">s.), </w:t>
      </w:r>
      <w:r w:rsidRPr="0097161D">
        <w:rPr>
          <w:rFonts w:ascii="Palatino Linotype" w:hAnsi="Palatino Linotype"/>
          <w:i/>
        </w:rPr>
        <w:t>Gender, Religion and Change in the Middle East: Two Hundred Years of History</w:t>
      </w:r>
      <w:r>
        <w:rPr>
          <w:rFonts w:ascii="Palatino Linotype" w:hAnsi="Palatino Linotype"/>
        </w:rPr>
        <w:t xml:space="preserve"> (</w:t>
      </w:r>
      <w:r w:rsidRPr="0097161D">
        <w:rPr>
          <w:rFonts w:ascii="Palatino Linotype" w:hAnsi="Palatino Linotype"/>
        </w:rPr>
        <w:t xml:space="preserve">Oxford and New York: Berg, 2005): 137-154; Stockdale, </w:t>
      </w:r>
      <w:r w:rsidRPr="0097161D">
        <w:rPr>
          <w:rFonts w:ascii="Palatino Linotype" w:hAnsi="Palatino Linotype"/>
          <w:i/>
        </w:rPr>
        <w:t>Colonial Encounters</w:t>
      </w:r>
      <w:r w:rsidRPr="0097161D">
        <w:rPr>
          <w:rFonts w:ascii="Palatino Linotype" w:hAnsi="Palatino Linotype"/>
        </w:rPr>
        <w:t>;</w:t>
      </w:r>
      <w:r w:rsidRPr="0097161D">
        <w:rPr>
          <w:rFonts w:ascii="Palatino Linotype" w:hAnsi="Palatino Linotype"/>
          <w:i/>
        </w:rPr>
        <w:t xml:space="preserve"> </w:t>
      </w:r>
      <w:r w:rsidRPr="0097161D">
        <w:rPr>
          <w:rFonts w:ascii="Palatino Linotype" w:hAnsi="Palatino Linotype"/>
        </w:rPr>
        <w:t>Haddad, ‘Syrian Muslims’ Attitu</w:t>
      </w:r>
      <w:r>
        <w:rPr>
          <w:rFonts w:ascii="Palatino Linotype" w:hAnsi="Palatino Linotype"/>
        </w:rPr>
        <w:t xml:space="preserve">des Toward Foreign Missionaries’, </w:t>
      </w:r>
      <w:r w:rsidRPr="0097161D">
        <w:rPr>
          <w:rFonts w:ascii="Palatino Linotype" w:hAnsi="Palatino Linotype"/>
          <w:i/>
        </w:rPr>
        <w:t>AI</w:t>
      </w:r>
      <w:r w:rsidRPr="0097161D">
        <w:rPr>
          <w:rFonts w:ascii="Palatino Linotype" w:hAnsi="Palatino Linotype"/>
        </w:rPr>
        <w:t>: 253-274; Doumato, ‘Missionary Transformations’: 373.</w:t>
      </w:r>
    </w:p>
  </w:footnote>
  <w:footnote w:id="23">
    <w:p w:rsidR="00A15CD3" w:rsidRPr="0097161D" w:rsidRDefault="00A15CD3" w:rsidP="001761FF">
      <w:pPr>
        <w:pStyle w:val="FootnoteText"/>
        <w:ind w:left="90" w:hanging="90"/>
        <w:jc w:val="both"/>
        <w:rPr>
          <w:rFonts w:ascii="Palatino Linotype" w:hAnsi="Palatino Linotype"/>
          <w:lang w:val="en-US"/>
        </w:rPr>
      </w:pPr>
      <w:r w:rsidRPr="0097161D">
        <w:rPr>
          <w:rStyle w:val="FootnoteReference"/>
          <w:rFonts w:ascii="Palatino Linotype" w:hAnsi="Palatino Linotype"/>
        </w:rPr>
        <w:footnoteRef/>
      </w:r>
      <w:r w:rsidRPr="0097161D">
        <w:rPr>
          <w:rFonts w:ascii="Palatino Linotype" w:hAnsi="Palatino Linotype"/>
        </w:rPr>
        <w:t xml:space="preserve"> </w:t>
      </w:r>
      <w:r>
        <w:rPr>
          <w:rFonts w:ascii="Palatino Linotype" w:hAnsi="Palatino Linotype"/>
        </w:rPr>
        <w:t xml:space="preserve">The analysis of gender within Middle East Studies tends to focus upon the construction of femininity, which has served as an important channel to emphasis the study of women within this discipline. Some of the seminal pieces on women in Middle East History include </w:t>
      </w:r>
      <w:r w:rsidRPr="00FE6985">
        <w:rPr>
          <w:rFonts w:ascii="Palatino Linotype" w:hAnsi="Palatino Linotype"/>
        </w:rPr>
        <w:t xml:space="preserve">Lois Beck and Nikki Keddie, (eds.), </w:t>
      </w:r>
      <w:r w:rsidRPr="00FE6985">
        <w:rPr>
          <w:rFonts w:ascii="Palatino Linotype" w:hAnsi="Palatino Linotype"/>
          <w:i/>
        </w:rPr>
        <w:t>Women in the Muslim World</w:t>
      </w:r>
      <w:r w:rsidRPr="00FE6985">
        <w:rPr>
          <w:rFonts w:ascii="Palatino Linotype" w:hAnsi="Palatino Linotype"/>
        </w:rPr>
        <w:t xml:space="preserve"> (Cambridge, Massachusetts: Harvard University Press, 1978</w:t>
      </w:r>
      <w:r>
        <w:rPr>
          <w:rFonts w:ascii="Palatino Linotype" w:hAnsi="Palatino Linotype"/>
        </w:rPr>
        <w:t xml:space="preserve">); </w:t>
      </w:r>
      <w:r w:rsidRPr="00FE6985">
        <w:rPr>
          <w:rFonts w:ascii="Palatino Linotype" w:hAnsi="Palatino Linotype"/>
          <w:lang w:val="en-US"/>
        </w:rPr>
        <w:t xml:space="preserve">Leila Ahmed, </w:t>
      </w:r>
      <w:r w:rsidRPr="00FE6985">
        <w:rPr>
          <w:rFonts w:ascii="Palatino Linotype" w:hAnsi="Palatino Linotype"/>
          <w:i/>
          <w:lang w:val="en-US"/>
        </w:rPr>
        <w:t>Women and Gender in Islam: Historical Roots of a Modern Debate</w:t>
      </w:r>
      <w:r w:rsidRPr="00FE6985">
        <w:rPr>
          <w:rFonts w:ascii="Palatino Linotype" w:hAnsi="Palatino Linotype"/>
          <w:lang w:val="en-US"/>
        </w:rPr>
        <w:t xml:space="preserve"> (New Haven and London: Yale University Press, 1992)</w:t>
      </w:r>
      <w:r>
        <w:rPr>
          <w:rFonts w:ascii="Palatino Linotype" w:hAnsi="Palatino Linotype"/>
          <w:lang w:val="en-US"/>
        </w:rPr>
        <w:t xml:space="preserve">; </w:t>
      </w:r>
      <w:r w:rsidRPr="002B501F">
        <w:rPr>
          <w:rFonts w:ascii="Palatino Linotype" w:hAnsi="Palatino Linotype"/>
          <w:lang w:val="en-US"/>
        </w:rPr>
        <w:t xml:space="preserve">Lila Abu-Lughod, </w:t>
      </w:r>
      <w:r>
        <w:rPr>
          <w:rFonts w:ascii="Palatino Linotype" w:hAnsi="Palatino Linotype"/>
          <w:lang w:val="en-US"/>
        </w:rPr>
        <w:t xml:space="preserve"> (ed.), </w:t>
      </w:r>
      <w:r w:rsidRPr="002B501F">
        <w:rPr>
          <w:rFonts w:ascii="Palatino Linotype" w:hAnsi="Palatino Linotype"/>
          <w:i/>
          <w:lang w:val="en-US"/>
        </w:rPr>
        <w:t>Remaking Women: Feminism and Modernity in the Middle East</w:t>
      </w:r>
      <w:r w:rsidRPr="002B501F">
        <w:rPr>
          <w:rFonts w:ascii="Palatino Linotype" w:hAnsi="Palatino Linotype"/>
          <w:lang w:val="en-US"/>
        </w:rPr>
        <w:t xml:space="preserve"> </w:t>
      </w:r>
      <w:r>
        <w:rPr>
          <w:rFonts w:ascii="Palatino Linotype" w:hAnsi="Palatino Linotype"/>
          <w:lang w:val="en-US"/>
        </w:rPr>
        <w:t>(</w:t>
      </w:r>
      <w:r w:rsidRPr="002B501F">
        <w:rPr>
          <w:rFonts w:ascii="Palatino Linotype" w:hAnsi="Palatino Linotype"/>
          <w:lang w:val="en-US"/>
        </w:rPr>
        <w:t>Princeton, New Jers</w:t>
      </w:r>
      <w:r>
        <w:rPr>
          <w:rFonts w:ascii="Palatino Linotype" w:hAnsi="Palatino Linotype"/>
          <w:lang w:val="en-US"/>
        </w:rPr>
        <w:t xml:space="preserve">ey: Princeton University Press, 1998); </w:t>
      </w:r>
      <w:r w:rsidRPr="00FE6985">
        <w:rPr>
          <w:rFonts w:ascii="Palatino Linotype" w:hAnsi="Palatino Linotype"/>
          <w:lang w:val="en-US"/>
        </w:rPr>
        <w:t xml:space="preserve">Guity Nashat and Judith E. Tucker,  </w:t>
      </w:r>
      <w:r w:rsidRPr="00FE6985">
        <w:rPr>
          <w:rFonts w:ascii="Palatino Linotype" w:hAnsi="Palatino Linotype"/>
          <w:i/>
          <w:lang w:val="en-US"/>
        </w:rPr>
        <w:t>Women in the Middle East and North Africa: Restoring Women to History</w:t>
      </w:r>
      <w:r w:rsidRPr="00FE6985">
        <w:rPr>
          <w:rFonts w:ascii="Palatino Linotype" w:hAnsi="Palatino Linotype"/>
          <w:lang w:val="en-US"/>
        </w:rPr>
        <w:t xml:space="preserve"> (Bloomington and Indianapolis: Indiana University Press, 1998)</w:t>
      </w:r>
      <w:r w:rsidRPr="00FE6985">
        <w:rPr>
          <w:rFonts w:ascii="Palatino Linotype" w:hAnsi="Palatino Linotype"/>
        </w:rPr>
        <w:t xml:space="preserve">; </w:t>
      </w:r>
      <w:r>
        <w:rPr>
          <w:rFonts w:ascii="Palatino Linotype" w:hAnsi="Palatino Linotype"/>
        </w:rPr>
        <w:t>Margaret</w:t>
      </w:r>
      <w:r w:rsidRPr="002B501F">
        <w:rPr>
          <w:rFonts w:ascii="Palatino Linotype" w:hAnsi="Palatino Linotype"/>
        </w:rPr>
        <w:t xml:space="preserve"> Meriwe</w:t>
      </w:r>
      <w:r>
        <w:rPr>
          <w:rFonts w:ascii="Palatino Linotype" w:hAnsi="Palatino Linotype"/>
        </w:rPr>
        <w:t>ther and Judith Tucker,</w:t>
      </w:r>
      <w:r w:rsidRPr="002B501F">
        <w:rPr>
          <w:rFonts w:ascii="Palatino Linotype" w:hAnsi="Palatino Linotype"/>
        </w:rPr>
        <w:t xml:space="preserve"> (eds.</w:t>
      </w:r>
      <w:r>
        <w:rPr>
          <w:rFonts w:ascii="Palatino Linotype" w:hAnsi="Palatino Linotype"/>
        </w:rPr>
        <w:t xml:space="preserve">), </w:t>
      </w:r>
      <w:r w:rsidRPr="002B501F">
        <w:rPr>
          <w:rFonts w:ascii="Palatino Linotype" w:hAnsi="Palatino Linotype"/>
          <w:i/>
        </w:rPr>
        <w:t>Social History of Women and G</w:t>
      </w:r>
      <w:r>
        <w:rPr>
          <w:rFonts w:ascii="Palatino Linotype" w:hAnsi="Palatino Linotype"/>
          <w:i/>
        </w:rPr>
        <w:t xml:space="preserve">ender in the Modern Middle East </w:t>
      </w:r>
      <w:r>
        <w:rPr>
          <w:rFonts w:ascii="Palatino Linotype" w:hAnsi="Palatino Linotype"/>
        </w:rPr>
        <w:t>(</w:t>
      </w:r>
      <w:r w:rsidRPr="002B501F">
        <w:rPr>
          <w:rFonts w:ascii="Palatino Linotype" w:hAnsi="Palatino Linotype"/>
        </w:rPr>
        <w:t xml:space="preserve">Oxford: Westview Press, </w:t>
      </w:r>
      <w:r>
        <w:rPr>
          <w:rFonts w:ascii="Palatino Linotype" w:hAnsi="Palatino Linotype"/>
        </w:rPr>
        <w:t xml:space="preserve">1999). However, the gendered analysis of masculinity remains under-theorised within Middle East Studies, although few studies have emerged in recent years, such as </w:t>
      </w:r>
      <w:r w:rsidRPr="0097161D">
        <w:rPr>
          <w:rFonts w:ascii="Palatino Linotype" w:hAnsi="Palatino Linotype"/>
        </w:rPr>
        <w:t>Sarah A. Kaiksow, ‘Subjectivity and Imperial Masculinity: A British Soldier in Dhofar (1968-1970)</w:t>
      </w:r>
      <w:r>
        <w:rPr>
          <w:rFonts w:ascii="Palatino Linotype" w:hAnsi="Palatino Linotype"/>
        </w:rPr>
        <w:t>’</w:t>
      </w:r>
      <w:r w:rsidRPr="0097161D">
        <w:rPr>
          <w:rFonts w:ascii="Palatino Linotype" w:hAnsi="Palatino Linotype"/>
        </w:rPr>
        <w:t xml:space="preserve">, </w:t>
      </w:r>
      <w:r w:rsidRPr="0097161D">
        <w:rPr>
          <w:rFonts w:ascii="Palatino Linotype" w:hAnsi="Palatino Linotype"/>
          <w:i/>
        </w:rPr>
        <w:t>Journal of Middle East Women’s Studies</w:t>
      </w:r>
      <w:r w:rsidRPr="0097161D">
        <w:rPr>
          <w:rFonts w:ascii="Palatino Linotype" w:hAnsi="Palatino Linotype"/>
        </w:rPr>
        <w:t>, 4:2 (2008): 60-80.</w:t>
      </w:r>
      <w:r w:rsidRPr="0097161D">
        <w:rPr>
          <w:rFonts w:ascii="Palatino Linotype" w:hAnsi="Palatino Linotype"/>
          <w:lang w:val="en-US"/>
        </w:rPr>
        <w:t xml:space="preserve"> </w:t>
      </w:r>
    </w:p>
  </w:footnote>
  <w:footnote w:id="24">
    <w:p w:rsidR="00A15CD3" w:rsidRPr="0097161D" w:rsidRDefault="00A15CD3" w:rsidP="001761FF">
      <w:pPr>
        <w:pStyle w:val="FootnoteText"/>
        <w:ind w:left="90" w:hanging="90"/>
        <w:jc w:val="both"/>
        <w:rPr>
          <w:rFonts w:ascii="Palatino Linotype" w:hAnsi="Palatino Linotype"/>
        </w:rPr>
      </w:pPr>
      <w:r w:rsidRPr="0097161D">
        <w:rPr>
          <w:rStyle w:val="FootnoteReference"/>
          <w:rFonts w:ascii="Palatino Linotype" w:hAnsi="Palatino Linotype"/>
        </w:rPr>
        <w:footnoteRef/>
      </w:r>
      <w:r>
        <w:rPr>
          <w:rFonts w:ascii="Palatino Linotype" w:hAnsi="Palatino Linotype"/>
        </w:rPr>
        <w:t xml:space="preserve"> </w:t>
      </w:r>
      <w:r w:rsidRPr="0097161D">
        <w:rPr>
          <w:rFonts w:ascii="Palatino Linotype" w:hAnsi="Palatino Linotype"/>
        </w:rPr>
        <w:t xml:space="preserve">Heyberger, </w:t>
      </w:r>
      <w:r w:rsidRPr="0097161D">
        <w:rPr>
          <w:rFonts w:ascii="Palatino Linotype" w:hAnsi="Palatino Linotype"/>
          <w:i/>
        </w:rPr>
        <w:t>Hindiyya</w:t>
      </w:r>
      <w:r w:rsidRPr="0097161D">
        <w:rPr>
          <w:rFonts w:ascii="Palatino Linotype" w:hAnsi="Palatino Linotype"/>
        </w:rPr>
        <w:t>;</w:t>
      </w:r>
      <w:r w:rsidRPr="0097161D">
        <w:rPr>
          <w:rFonts w:ascii="Palatino Linotype" w:hAnsi="Palatino Linotype"/>
          <w:i/>
        </w:rPr>
        <w:t xml:space="preserve"> </w:t>
      </w:r>
      <w:r w:rsidRPr="0097161D">
        <w:rPr>
          <w:rFonts w:ascii="Palatino Linotype" w:hAnsi="Palatino Linotype"/>
        </w:rPr>
        <w:t>Heyberger, ‘Individualism and Political Modernity’: 71-84;</w:t>
      </w:r>
      <w:r w:rsidRPr="0097161D">
        <w:rPr>
          <w:rFonts w:ascii="Palatino Linotype" w:hAnsi="Palatino Linotype"/>
          <w:i/>
          <w:lang w:val="en-US"/>
        </w:rPr>
        <w:t xml:space="preserve"> </w:t>
      </w:r>
      <w:r w:rsidRPr="0097161D">
        <w:rPr>
          <w:rFonts w:ascii="Palatino Linotype" w:hAnsi="Palatino Linotype"/>
        </w:rPr>
        <w:t xml:space="preserve">Bernard Heyberger and Chantal Verdeil, ‘Spirituality and Scholarship: The Holy Land in Jesuit Eyes (Seventeenth to Nineteenth Centuries)’, in: Murre-van den Berg, </w:t>
      </w:r>
      <w:r w:rsidRPr="0097161D">
        <w:rPr>
          <w:rFonts w:ascii="Palatino Linotype" w:hAnsi="Palatino Linotype"/>
          <w:i/>
        </w:rPr>
        <w:t>NFAL</w:t>
      </w:r>
      <w:r w:rsidRPr="0097161D">
        <w:rPr>
          <w:rFonts w:ascii="Palatino Linotype" w:hAnsi="Palatino Linotype"/>
        </w:rPr>
        <w:t>:</w:t>
      </w:r>
      <w:r w:rsidRPr="0097161D">
        <w:rPr>
          <w:rFonts w:ascii="Palatino Linotype" w:hAnsi="Palatino Linotype"/>
          <w:lang w:val="en-US"/>
        </w:rPr>
        <w:t xml:space="preserve">19-40; </w:t>
      </w:r>
      <w:r w:rsidRPr="0097161D">
        <w:rPr>
          <w:rFonts w:ascii="Palatino Linotype" w:hAnsi="Palatino Linotype"/>
        </w:rPr>
        <w:t xml:space="preserve">Jansen, ‘Visions of Mary in the Middle East:’ 137-54; </w:t>
      </w:r>
      <w:r>
        <w:rPr>
          <w:rFonts w:ascii="Palatino Linotype" w:hAnsi="Palatino Linotype"/>
        </w:rPr>
        <w:t>Khater,</w:t>
      </w:r>
      <w:r w:rsidRPr="00753CF3">
        <w:rPr>
          <w:rFonts w:ascii="Palatino Linotype" w:hAnsi="Palatino Linotype"/>
        </w:rPr>
        <w:t xml:space="preserve"> ‘</w:t>
      </w:r>
      <w:r>
        <w:rPr>
          <w:rFonts w:ascii="Palatino Linotype" w:hAnsi="Palatino Linotype"/>
        </w:rPr>
        <w:t>God has Called Me to be Free’:</w:t>
      </w:r>
      <w:r w:rsidRPr="00753CF3">
        <w:rPr>
          <w:rFonts w:ascii="Palatino Linotype" w:hAnsi="Palatino Linotype"/>
        </w:rPr>
        <w:t xml:space="preserve"> 421-443.</w:t>
      </w:r>
    </w:p>
  </w:footnote>
  <w:footnote w:id="25">
    <w:p w:rsidR="00A15CD3" w:rsidRPr="0097161D" w:rsidRDefault="00A15CD3" w:rsidP="001761FF">
      <w:pPr>
        <w:pStyle w:val="FootnoteText"/>
        <w:ind w:left="90" w:hanging="90"/>
        <w:jc w:val="both"/>
        <w:rPr>
          <w:rFonts w:ascii="Palatino Linotype" w:hAnsi="Palatino Linotype"/>
        </w:rPr>
      </w:pPr>
      <w:r w:rsidRPr="0097161D">
        <w:rPr>
          <w:rStyle w:val="FootnoteReference"/>
          <w:rFonts w:ascii="Palatino Linotype" w:hAnsi="Palatino Linotype"/>
        </w:rPr>
        <w:footnoteRef/>
      </w:r>
      <w:r w:rsidRPr="0097161D">
        <w:rPr>
          <w:rFonts w:ascii="Palatino Linotype" w:hAnsi="Palatino Linotype"/>
        </w:rPr>
        <w:t xml:space="preserve"> Ellen L. Fleischmann, ‘“Our Moslem Sisters”: Women of Greater Syria in the Eyes of American Protestant Missionary Women’, </w:t>
      </w:r>
      <w:r w:rsidRPr="0097161D">
        <w:rPr>
          <w:rFonts w:ascii="Palatino Linotype" w:hAnsi="Palatino Linotype"/>
          <w:i/>
        </w:rPr>
        <w:t>ICMR</w:t>
      </w:r>
      <w:r w:rsidRPr="0097161D">
        <w:rPr>
          <w:rFonts w:ascii="Palatino Linotype" w:hAnsi="Palatino Linotype"/>
        </w:rPr>
        <w:t xml:space="preserve"> 9:3 (1998): 307-323; Ellen Fleischmann, ‘The Impact of American Protestant Missions in Lebanon on the Construction of Female Identity, c. 1860-1950’, </w:t>
      </w:r>
      <w:r w:rsidRPr="0097161D">
        <w:rPr>
          <w:rFonts w:ascii="Palatino Linotype" w:hAnsi="Palatino Linotype"/>
          <w:i/>
        </w:rPr>
        <w:t>ICMR</w:t>
      </w:r>
      <w:r w:rsidRPr="0097161D">
        <w:rPr>
          <w:rFonts w:ascii="Palatino Linotype" w:hAnsi="Palatino Linotype"/>
        </w:rPr>
        <w:t xml:space="preserve">13:4 (2002): 411-426; Ellen Fleischmann, ‘Evangelization or Education: American Protestant Missionaries; the American Board, and the Girls and Women of Syria (1830 – 1910)’, in: </w:t>
      </w:r>
      <w:r w:rsidRPr="0097161D">
        <w:rPr>
          <w:rFonts w:ascii="Palatino Linotype" w:hAnsi="Palatino Linotype"/>
          <w:lang w:val="en-US"/>
        </w:rPr>
        <w:t xml:space="preserve">Murre-van den Berg, </w:t>
      </w:r>
      <w:r w:rsidRPr="0097161D">
        <w:rPr>
          <w:rFonts w:ascii="Palatino Linotype" w:hAnsi="Palatino Linotype"/>
          <w:i/>
          <w:lang w:val="en-US"/>
        </w:rPr>
        <w:t>NFAL</w:t>
      </w:r>
      <w:r w:rsidRPr="0097161D">
        <w:rPr>
          <w:rFonts w:ascii="Palatino Linotype" w:hAnsi="Palatino Linotype"/>
          <w:lang w:val="en-US"/>
        </w:rPr>
        <w:t xml:space="preserve">: </w:t>
      </w:r>
      <w:r w:rsidRPr="0097161D">
        <w:rPr>
          <w:rFonts w:ascii="Palatino Linotype" w:hAnsi="Palatino Linotype"/>
        </w:rPr>
        <w:t xml:space="preserve">263-280; Marilyn Booth, ‘“She Herself was the Ultimate Rule”: Arabic Biographies of Missionary Teachers and Their Pupils’, </w:t>
      </w:r>
      <w:r w:rsidRPr="0097161D">
        <w:rPr>
          <w:rFonts w:ascii="Palatino Linotype" w:hAnsi="Palatino Linotype"/>
          <w:i/>
        </w:rPr>
        <w:t>ICMR</w:t>
      </w:r>
      <w:r w:rsidRPr="0097161D">
        <w:rPr>
          <w:rFonts w:ascii="Palatino Linotype" w:hAnsi="Palatino Linotype"/>
        </w:rPr>
        <w:t xml:space="preserve">13: 4 (2002): 427-448; </w:t>
      </w:r>
      <w:r w:rsidRPr="0097161D">
        <w:rPr>
          <w:rFonts w:ascii="Palatino Linotype" w:hAnsi="Palatino Linotype"/>
          <w:lang w:val="en-US"/>
        </w:rPr>
        <w:t xml:space="preserve">Heleen Murre-van den Berg, ‘Nineteenth-Century Protestant Missions and Middle Eastern Women: An Overview’, in: I. </w:t>
      </w:r>
      <w:r w:rsidRPr="0097161D">
        <w:rPr>
          <w:rFonts w:ascii="Palatino Linotype" w:hAnsi="Palatino Linotype"/>
        </w:rPr>
        <w:t>Okkenhaug and I. Flaskerud</w:t>
      </w:r>
      <w:r>
        <w:rPr>
          <w:rFonts w:ascii="Palatino Linotype" w:hAnsi="Palatino Linotype"/>
        </w:rPr>
        <w:t>, (ed</w:t>
      </w:r>
      <w:r w:rsidRPr="0097161D">
        <w:rPr>
          <w:rFonts w:ascii="Palatino Linotype" w:hAnsi="Palatino Linotype"/>
        </w:rPr>
        <w:t xml:space="preserve">s.), </w:t>
      </w:r>
      <w:r w:rsidRPr="0097161D">
        <w:rPr>
          <w:rFonts w:ascii="Palatino Linotype" w:hAnsi="Palatino Linotype"/>
          <w:i/>
        </w:rPr>
        <w:t>Gender, Religion and Change in the Middle East: Two Hundred Years of History</w:t>
      </w:r>
      <w:r>
        <w:rPr>
          <w:rFonts w:ascii="Palatino Linotype" w:hAnsi="Palatino Linotype"/>
        </w:rPr>
        <w:t xml:space="preserve"> (</w:t>
      </w:r>
      <w:r w:rsidRPr="0097161D">
        <w:rPr>
          <w:rFonts w:ascii="Palatino Linotype" w:hAnsi="Palatino Linotype"/>
        </w:rPr>
        <w:t xml:space="preserve">Oxford and New York: Berg, 2005): 103-126; Stockdale, </w:t>
      </w:r>
      <w:r w:rsidRPr="0097161D">
        <w:rPr>
          <w:rFonts w:ascii="Palatino Linotype" w:hAnsi="Palatino Linotype"/>
          <w:i/>
        </w:rPr>
        <w:t>Colonial Encounters.</w:t>
      </w:r>
    </w:p>
  </w:footnote>
  <w:footnote w:id="26">
    <w:p w:rsidR="00A15CD3" w:rsidRPr="0097161D" w:rsidRDefault="00A15CD3" w:rsidP="001761FF">
      <w:pPr>
        <w:pStyle w:val="FootnoteText"/>
        <w:ind w:left="90" w:hanging="90"/>
        <w:jc w:val="both"/>
        <w:rPr>
          <w:rFonts w:ascii="Palatino Linotype" w:hAnsi="Palatino Linotype"/>
          <w:lang w:val="en-US"/>
        </w:rPr>
      </w:pPr>
      <w:r w:rsidRPr="0097161D">
        <w:rPr>
          <w:rStyle w:val="FootnoteReference"/>
          <w:rFonts w:ascii="Palatino Linotype" w:hAnsi="Palatino Linotype"/>
        </w:rPr>
        <w:footnoteRef/>
      </w:r>
      <w:r w:rsidRPr="0097161D">
        <w:rPr>
          <w:rFonts w:ascii="Palatino Linotype" w:hAnsi="Palatino Linotype"/>
        </w:rPr>
        <w:t xml:space="preserve"> </w:t>
      </w:r>
      <w:r w:rsidRPr="0097161D">
        <w:rPr>
          <w:rFonts w:ascii="Palatino Linotype" w:hAnsi="Palatino Linotype"/>
          <w:lang w:val="en-US"/>
        </w:rPr>
        <w:t>Murre-van den Berg, ‘Nineteenth-Century Protestant Missions’: 111-</w:t>
      </w:r>
      <w:r>
        <w:rPr>
          <w:rFonts w:ascii="Palatino Linotype" w:hAnsi="Palatino Linotype"/>
          <w:lang w:val="en-US"/>
        </w:rPr>
        <w:t>11</w:t>
      </w:r>
      <w:r w:rsidRPr="0097161D">
        <w:rPr>
          <w:rFonts w:ascii="Palatino Linotype" w:hAnsi="Palatino Linotype"/>
          <w:lang w:val="en-US"/>
        </w:rPr>
        <w:t xml:space="preserve">4; Booth, ‘She Herself was the Ultimate Rule’: </w:t>
      </w:r>
      <w:r w:rsidRPr="0097161D">
        <w:rPr>
          <w:rFonts w:ascii="Palatino Linotype" w:hAnsi="Palatino Linotype"/>
        </w:rPr>
        <w:t>427-448.</w:t>
      </w:r>
      <w:r>
        <w:rPr>
          <w:rFonts w:ascii="Palatino Linotype" w:hAnsi="Palatino Linotype"/>
        </w:rPr>
        <w:t xml:space="preserve"> </w:t>
      </w:r>
      <w:r w:rsidRPr="00FE6985">
        <w:rPr>
          <w:rFonts w:ascii="Palatino Linotype" w:hAnsi="Palatino Linotype"/>
        </w:rPr>
        <w:t xml:space="preserve">This is not to say that women are essentially more ‘emotional’ than men, but that </w:t>
      </w:r>
      <w:r>
        <w:rPr>
          <w:rFonts w:ascii="Palatino Linotype" w:hAnsi="Palatino Linotype"/>
        </w:rPr>
        <w:t>such</w:t>
      </w:r>
      <w:r w:rsidRPr="00FE6985">
        <w:rPr>
          <w:rFonts w:ascii="Palatino Linotype" w:hAnsi="Palatino Linotype"/>
        </w:rPr>
        <w:t xml:space="preserve"> relationships </w:t>
      </w:r>
      <w:r>
        <w:rPr>
          <w:rFonts w:ascii="Palatino Linotype" w:hAnsi="Palatino Linotype"/>
        </w:rPr>
        <w:t>are often obscured or overlooked in analysis of men’s activities and institutions.</w:t>
      </w:r>
    </w:p>
  </w:footnote>
  <w:footnote w:id="27">
    <w:p w:rsidR="00A15CD3" w:rsidRPr="0097161D" w:rsidRDefault="00A15CD3" w:rsidP="001761FF">
      <w:pPr>
        <w:pStyle w:val="FootnoteText"/>
        <w:ind w:left="90" w:hanging="90"/>
        <w:jc w:val="both"/>
        <w:rPr>
          <w:rFonts w:ascii="Palatino Linotype" w:hAnsi="Palatino Linotype"/>
        </w:rPr>
      </w:pPr>
      <w:r w:rsidRPr="0097161D">
        <w:rPr>
          <w:rStyle w:val="FootnoteReference"/>
          <w:rFonts w:ascii="Palatino Linotype" w:hAnsi="Palatino Linotype"/>
        </w:rPr>
        <w:footnoteRef/>
      </w:r>
      <w:r w:rsidRPr="0097161D">
        <w:rPr>
          <w:rFonts w:ascii="Palatino Linotype" w:hAnsi="Palatino Linotype"/>
        </w:rPr>
        <w:t xml:space="preserve"> This link was origina</w:t>
      </w:r>
      <w:r>
        <w:rPr>
          <w:rFonts w:ascii="Palatino Linotype" w:hAnsi="Palatino Linotype"/>
        </w:rPr>
        <w:t>lly made by George Antonius and</w:t>
      </w:r>
      <w:r w:rsidRPr="0097161D">
        <w:rPr>
          <w:rFonts w:ascii="Palatino Linotype" w:hAnsi="Palatino Linotype"/>
        </w:rPr>
        <w:t xml:space="preserve"> maintained in subsequent literature. George Antonius, </w:t>
      </w:r>
      <w:r w:rsidRPr="0097161D">
        <w:rPr>
          <w:rFonts w:ascii="Palatino Linotype" w:hAnsi="Palatino Linotype"/>
          <w:i/>
        </w:rPr>
        <w:t>The Arab Awakening: The Story of the Arab National Movement</w:t>
      </w:r>
      <w:r>
        <w:rPr>
          <w:rFonts w:ascii="Palatino Linotype" w:hAnsi="Palatino Linotype"/>
          <w:i/>
        </w:rPr>
        <w:t xml:space="preserve"> </w:t>
      </w:r>
      <w:r w:rsidRPr="002A7A6B">
        <w:rPr>
          <w:rFonts w:ascii="Palatino Linotype" w:hAnsi="Palatino Linotype"/>
        </w:rPr>
        <w:t>(</w:t>
      </w:r>
      <w:r w:rsidRPr="0097161D">
        <w:rPr>
          <w:rFonts w:ascii="Palatino Linotype" w:hAnsi="Palatino Linotype"/>
        </w:rPr>
        <w:t>London:</w:t>
      </w:r>
      <w:r w:rsidRPr="0097161D">
        <w:rPr>
          <w:rFonts w:ascii="Palatino Linotype" w:eastAsia="Times New Roman" w:hAnsi="Palatino Linotype"/>
          <w:color w:val="000000"/>
          <w:sz w:val="26"/>
          <w:szCs w:val="24"/>
        </w:rPr>
        <w:t xml:space="preserve"> </w:t>
      </w:r>
      <w:r w:rsidRPr="0097161D">
        <w:rPr>
          <w:rFonts w:ascii="Palatino Linotype" w:hAnsi="Palatino Linotype"/>
        </w:rPr>
        <w:t xml:space="preserve">Hamish Hamilton, 1945); Abdul Latif Tibawi, ‘The American Missionaries in Beirut and Butrus Al-Bustānī’, </w:t>
      </w:r>
      <w:r w:rsidRPr="0097161D">
        <w:rPr>
          <w:rFonts w:ascii="Palatino Linotype" w:hAnsi="Palatino Linotype"/>
          <w:i/>
        </w:rPr>
        <w:t xml:space="preserve">St. Antony’s Papers, </w:t>
      </w:r>
      <w:r w:rsidRPr="0097161D">
        <w:rPr>
          <w:rFonts w:ascii="Palatino Linotype" w:hAnsi="Palatino Linotype"/>
        </w:rPr>
        <w:t>16: 3 (1963): 137-</w:t>
      </w:r>
      <w:r>
        <w:rPr>
          <w:rFonts w:ascii="Palatino Linotype" w:hAnsi="Palatino Linotype"/>
        </w:rPr>
        <w:t>1</w:t>
      </w:r>
      <w:r w:rsidRPr="0097161D">
        <w:rPr>
          <w:rFonts w:ascii="Palatino Linotype" w:hAnsi="Palatino Linotype"/>
        </w:rPr>
        <w:t xml:space="preserve">82; Habib Badr, ‘American Protestant Missionary Beginnings in Beirut and Istanbul: Policy, Politics, Practice and Response’, in: </w:t>
      </w:r>
      <w:r w:rsidRPr="0097161D">
        <w:rPr>
          <w:rFonts w:ascii="Palatino Linotype" w:hAnsi="Palatino Linotype"/>
          <w:lang w:val="en-US"/>
        </w:rPr>
        <w:t xml:space="preserve">Murre-van den Berg, </w:t>
      </w:r>
      <w:r w:rsidRPr="0097161D">
        <w:rPr>
          <w:rFonts w:ascii="Palatino Linotype" w:hAnsi="Palatino Linotype"/>
          <w:i/>
          <w:lang w:val="en-US"/>
        </w:rPr>
        <w:t>NFAL</w:t>
      </w:r>
      <w:r w:rsidRPr="0097161D">
        <w:rPr>
          <w:rFonts w:ascii="Palatino Linotype" w:hAnsi="Palatino Linotype"/>
          <w:lang w:val="en-US"/>
        </w:rPr>
        <w:t xml:space="preserve">: </w:t>
      </w:r>
      <w:r>
        <w:rPr>
          <w:rFonts w:ascii="Palatino Linotype" w:hAnsi="Palatino Linotype"/>
          <w:lang w:val="en-US"/>
        </w:rPr>
        <w:t xml:space="preserve">211-239. </w:t>
      </w:r>
      <w:r w:rsidRPr="0097161D">
        <w:rPr>
          <w:rFonts w:ascii="Palatino Linotype" w:hAnsi="Palatino Linotype"/>
        </w:rPr>
        <w:t xml:space="preserve">Situating the </w:t>
      </w:r>
      <w:r w:rsidRPr="0097161D">
        <w:rPr>
          <w:rFonts w:ascii="Palatino Linotype" w:hAnsi="Palatino Linotype"/>
          <w:i/>
        </w:rPr>
        <w:t>Nahda</w:t>
      </w:r>
      <w:r w:rsidRPr="0097161D">
        <w:rPr>
          <w:rFonts w:ascii="Palatino Linotype" w:hAnsi="Palatino Linotype"/>
        </w:rPr>
        <w:t xml:space="preserve"> solely in the nineteenth century wa</w:t>
      </w:r>
      <w:r>
        <w:rPr>
          <w:rFonts w:ascii="Palatino Linotype" w:hAnsi="Palatino Linotype"/>
        </w:rPr>
        <w:t xml:space="preserve">s problematised by in </w:t>
      </w:r>
      <w:r w:rsidRPr="00753CF3">
        <w:rPr>
          <w:rFonts w:ascii="Palatino Linotype" w:hAnsi="Palatino Linotype"/>
        </w:rPr>
        <w:t xml:space="preserve">Khater, </w:t>
      </w:r>
      <w:r>
        <w:rPr>
          <w:rFonts w:ascii="Palatino Linotype" w:hAnsi="Palatino Linotype"/>
        </w:rPr>
        <w:t>‘God has Called Me to be Free’: 427, 441 note 44.</w:t>
      </w:r>
    </w:p>
  </w:footnote>
  <w:footnote w:id="28">
    <w:p w:rsidR="00A15CD3" w:rsidRPr="00706E89" w:rsidRDefault="00A15CD3" w:rsidP="001761FF">
      <w:pPr>
        <w:pStyle w:val="FootnoteText"/>
        <w:ind w:left="90" w:hanging="90"/>
        <w:jc w:val="both"/>
        <w:rPr>
          <w:lang w:val="en-US"/>
        </w:rPr>
      </w:pPr>
      <w:r>
        <w:rPr>
          <w:rStyle w:val="FootnoteReference"/>
        </w:rPr>
        <w:footnoteRef/>
      </w:r>
      <w:r>
        <w:t xml:space="preserve"> </w:t>
      </w:r>
      <w:r>
        <w:rPr>
          <w:rFonts w:ascii="Palatino Linotype" w:hAnsi="Palatino Linotype"/>
          <w:lang w:val="en-US"/>
        </w:rPr>
        <w:t>These</w:t>
      </w:r>
      <w:r w:rsidRPr="00706E89">
        <w:rPr>
          <w:rFonts w:ascii="Palatino Linotype" w:hAnsi="Palatino Linotype"/>
          <w:lang w:val="en-US"/>
        </w:rPr>
        <w:t xml:space="preserve"> include </w:t>
      </w:r>
      <w:r w:rsidRPr="00706E89">
        <w:rPr>
          <w:rFonts w:ascii="Palatino Linotype" w:hAnsi="Palatino Linotype"/>
        </w:rPr>
        <w:t xml:space="preserve">Tibawi, ‘The American Missionaries in Beirut’;  Makdisi, </w:t>
      </w:r>
      <w:r w:rsidRPr="00706E89">
        <w:rPr>
          <w:rFonts w:ascii="Palatino Linotype" w:hAnsi="Palatino Linotype"/>
          <w:i/>
        </w:rPr>
        <w:t xml:space="preserve">Artillery of Heaven; </w:t>
      </w:r>
      <w:r w:rsidRPr="00706E89">
        <w:rPr>
          <w:rFonts w:ascii="Palatino Linotype" w:hAnsi="Palatino Linotype"/>
        </w:rPr>
        <w:t xml:space="preserve">Ussama Makdisi, ‘Reclaiming the Land of the Bible: Missionaries, Secularism, and Evangelical Modernity’, </w:t>
      </w:r>
      <w:r w:rsidRPr="00706E89">
        <w:rPr>
          <w:rFonts w:ascii="Palatino Linotype" w:hAnsi="Palatino Linotype"/>
          <w:i/>
        </w:rPr>
        <w:t>The American Historical Review</w:t>
      </w:r>
      <w:r w:rsidRPr="00706E89">
        <w:rPr>
          <w:rFonts w:ascii="Palatino Linotype" w:hAnsi="Palatino Linotype"/>
        </w:rPr>
        <w:t xml:space="preserve"> 102:3 (1997): 680-713; Ussama </w:t>
      </w:r>
      <w:r w:rsidRPr="00706E89">
        <w:rPr>
          <w:rFonts w:ascii="Palatino Linotype" w:hAnsi="Palatino Linotype"/>
          <w:lang w:val="en-US"/>
        </w:rPr>
        <w:t xml:space="preserve">Makdisi, (2004), ‘Rethinking American Missionaries and Nineteenth-Century Historiography of the Middle East’, in: T. Philipp and C. Schumann, (eds.), </w:t>
      </w:r>
      <w:r w:rsidRPr="00706E89">
        <w:rPr>
          <w:rFonts w:ascii="Palatino Linotype" w:hAnsi="Palatino Linotype"/>
          <w:i/>
          <w:lang w:val="en-US"/>
        </w:rPr>
        <w:t>From the Syrian Lands to the States of Syria and Lebanon</w:t>
      </w:r>
      <w:r w:rsidRPr="00706E89">
        <w:rPr>
          <w:rFonts w:ascii="Palatino Linotype" w:hAnsi="Palatino Linotype"/>
          <w:lang w:val="en-US"/>
        </w:rPr>
        <w:t xml:space="preserve"> (Beirut: Orient-Institute, 2004): 209-224; </w:t>
      </w:r>
      <w:r w:rsidRPr="00706E89">
        <w:rPr>
          <w:rFonts w:ascii="Palatino Linotype" w:hAnsi="Palatino Linotype"/>
        </w:rPr>
        <w:t xml:space="preserve">Habib Badr, ‘Missions to “Nominal Christians”: The Policy and Practice of the American Board of Commissioners for Foreign Missions and its Missionaries Concerning Eastern Churches Which led to the Organization of a Protestant Church in Beirut (1819-1848)’. (Ph.D. Thesis) (Princeton, N.J.: Princeton Theological Seminary, 1992); </w:t>
      </w:r>
      <w:r w:rsidRPr="00706E89">
        <w:rPr>
          <w:rFonts w:ascii="Palatino Linotype" w:hAnsi="Palatino Linotype"/>
          <w:lang w:val="en-US"/>
        </w:rPr>
        <w:t xml:space="preserve">Marwa Elshakry, ‘The Gospel of Science and American Evangelicalism in Late Ottoman Beirut’, </w:t>
      </w:r>
      <w:r w:rsidRPr="00706E89">
        <w:rPr>
          <w:rFonts w:ascii="Palatino Linotype" w:hAnsi="Palatino Linotype"/>
          <w:i/>
          <w:lang w:val="en-US"/>
        </w:rPr>
        <w:t xml:space="preserve">Past and Present </w:t>
      </w:r>
      <w:r w:rsidRPr="00706E89">
        <w:rPr>
          <w:rFonts w:ascii="Palatino Linotype" w:hAnsi="Palatino Linotype"/>
          <w:lang w:val="en-US"/>
        </w:rPr>
        <w:t>196 (2007): 173-214.</w:t>
      </w:r>
      <w:r w:rsidRPr="00706E89">
        <w:t xml:space="preserve"> </w:t>
      </w:r>
    </w:p>
  </w:footnote>
  <w:footnote w:id="29">
    <w:p w:rsidR="00A15CD3" w:rsidRPr="0097161D" w:rsidRDefault="00A15CD3" w:rsidP="001761FF">
      <w:pPr>
        <w:pStyle w:val="FootnoteText"/>
        <w:ind w:left="90" w:hanging="90"/>
        <w:jc w:val="both"/>
        <w:rPr>
          <w:rFonts w:ascii="Palatino Linotype" w:hAnsi="Palatino Linotype"/>
        </w:rPr>
      </w:pPr>
      <w:r w:rsidRPr="0097161D">
        <w:rPr>
          <w:rStyle w:val="FootnoteReference"/>
          <w:rFonts w:ascii="Palatino Linotype" w:hAnsi="Palatino Linotype"/>
        </w:rPr>
        <w:footnoteRef/>
      </w:r>
      <w:r w:rsidRPr="0097161D">
        <w:rPr>
          <w:rFonts w:ascii="Palatino Linotype" w:hAnsi="Palatino Linotype"/>
        </w:rPr>
        <w:t xml:space="preserve"> </w:t>
      </w:r>
      <w:r w:rsidRPr="0097161D">
        <w:rPr>
          <w:rFonts w:ascii="Palatino Linotype" w:hAnsi="Palatino Linotype"/>
          <w:lang w:val="en-US"/>
        </w:rPr>
        <w:t xml:space="preserve">Ellen Fleischmann’s </w:t>
      </w:r>
      <w:r>
        <w:rPr>
          <w:rFonts w:ascii="Palatino Linotype" w:hAnsi="Palatino Linotype"/>
          <w:lang w:val="en-US"/>
        </w:rPr>
        <w:t xml:space="preserve">research </w:t>
      </w:r>
      <w:r w:rsidRPr="0097161D">
        <w:rPr>
          <w:rFonts w:ascii="Palatino Linotype" w:hAnsi="Palatino Linotype"/>
          <w:lang w:val="en-US"/>
        </w:rPr>
        <w:t xml:space="preserve">on </w:t>
      </w:r>
      <w:r>
        <w:rPr>
          <w:rFonts w:ascii="Palatino Linotype" w:hAnsi="Palatino Linotype"/>
          <w:lang w:val="en-US"/>
        </w:rPr>
        <w:t xml:space="preserve">the </w:t>
      </w:r>
      <w:r w:rsidRPr="0097161D">
        <w:rPr>
          <w:rFonts w:ascii="Palatino Linotype" w:hAnsi="Palatino Linotype"/>
          <w:lang w:val="en-US"/>
        </w:rPr>
        <w:t>institutions for female education and</w:t>
      </w:r>
      <w:r w:rsidRPr="0097161D">
        <w:rPr>
          <w:rFonts w:ascii="Palatino Linotype" w:hAnsi="Palatino Linotype"/>
        </w:rPr>
        <w:t xml:space="preserve"> Wafa’ Stephan Tarnowski’s Masters Thesis are two noticeable and welcomed exceptions. Fleischman, ‘Evangelization or Education’; Fleischmann, ‘The Impact of American Protestant’; Fleischmann, ‘Our Moslem Sisters’; Wafa’ Stephan</w:t>
      </w:r>
      <w:r w:rsidRPr="0097161D">
        <w:rPr>
          <w:rFonts w:ascii="Palatino Linotype" w:hAnsi="Palatino Linotype"/>
          <w:szCs w:val="24"/>
        </w:rPr>
        <w:t xml:space="preserve"> </w:t>
      </w:r>
      <w:r w:rsidRPr="0097161D">
        <w:rPr>
          <w:rFonts w:ascii="Palatino Linotype" w:hAnsi="Palatino Linotype"/>
        </w:rPr>
        <w:t>Tarnowski, ‘Sociological Profile and Cultural Impact of American and British Women Missionaries in Lebanon</w:t>
      </w:r>
      <w:r>
        <w:rPr>
          <w:rFonts w:ascii="Palatino Linotype" w:hAnsi="Palatino Linotype"/>
        </w:rPr>
        <w:t xml:space="preserve"> (</w:t>
      </w:r>
      <w:r w:rsidRPr="0097161D">
        <w:rPr>
          <w:rFonts w:ascii="Palatino Linotype" w:hAnsi="Palatino Linotype"/>
        </w:rPr>
        <w:t>1823-1914)’</w:t>
      </w:r>
      <w:r>
        <w:rPr>
          <w:rFonts w:ascii="Palatino Linotype" w:hAnsi="Palatino Linotype"/>
        </w:rPr>
        <w:t xml:space="preserve"> (</w:t>
      </w:r>
      <w:r w:rsidRPr="0097161D">
        <w:rPr>
          <w:rFonts w:ascii="Palatino Linotype" w:hAnsi="Palatino Linotype"/>
        </w:rPr>
        <w:t>M.A. Thesis)</w:t>
      </w:r>
      <w:r>
        <w:rPr>
          <w:rFonts w:ascii="Palatino Linotype" w:hAnsi="Palatino Linotype"/>
        </w:rPr>
        <w:t xml:space="preserve"> (</w:t>
      </w:r>
      <w:r w:rsidRPr="0097161D">
        <w:rPr>
          <w:rFonts w:ascii="Palatino Linotype" w:hAnsi="Palatino Linotype"/>
        </w:rPr>
        <w:t xml:space="preserve">Beirut: University of Beirut, 1997). </w:t>
      </w:r>
    </w:p>
  </w:footnote>
  <w:footnote w:id="30">
    <w:p w:rsidR="00A15CD3" w:rsidRPr="0097161D" w:rsidRDefault="00A15CD3" w:rsidP="001761FF">
      <w:pPr>
        <w:pStyle w:val="FootnoteText"/>
        <w:ind w:left="90" w:hanging="90"/>
        <w:jc w:val="both"/>
        <w:rPr>
          <w:rFonts w:ascii="Palatino Linotype" w:hAnsi="Palatino Linotype"/>
          <w:i/>
        </w:rPr>
      </w:pPr>
      <w:r w:rsidRPr="0097161D">
        <w:rPr>
          <w:rStyle w:val="FootnoteReference"/>
          <w:rFonts w:ascii="Palatino Linotype" w:hAnsi="Palatino Linotype"/>
        </w:rPr>
        <w:footnoteRef/>
      </w:r>
      <w:r w:rsidRPr="0097161D">
        <w:rPr>
          <w:rFonts w:ascii="Palatino Linotype" w:hAnsi="Palatino Linotype"/>
        </w:rPr>
        <w:t xml:space="preserve"> </w:t>
      </w:r>
      <w:r>
        <w:rPr>
          <w:rFonts w:ascii="Palatino Linotype" w:hAnsi="Palatino Linotype"/>
        </w:rPr>
        <w:t>One</w:t>
      </w:r>
      <w:r w:rsidRPr="00C92EFD">
        <w:rPr>
          <w:rFonts w:ascii="Palatino Linotype" w:hAnsi="Palatino Linotype"/>
        </w:rPr>
        <w:t xml:space="preserve"> exception</w:t>
      </w:r>
      <w:r>
        <w:rPr>
          <w:rFonts w:ascii="Palatino Linotype" w:hAnsi="Palatino Linotype"/>
        </w:rPr>
        <w:t xml:space="preserve"> is</w:t>
      </w:r>
      <w:r w:rsidRPr="00C92EFD">
        <w:rPr>
          <w:rFonts w:ascii="Palatino Linotype" w:hAnsi="Palatino Linotype"/>
        </w:rPr>
        <w:t xml:space="preserve"> Jens Hanssen</w:t>
      </w:r>
      <w:r>
        <w:rPr>
          <w:rFonts w:ascii="Palatino Linotype" w:hAnsi="Palatino Linotype"/>
        </w:rPr>
        <w:t>, who</w:t>
      </w:r>
      <w:r w:rsidRPr="00C92EFD">
        <w:rPr>
          <w:rFonts w:ascii="Palatino Linotype" w:hAnsi="Palatino Linotype"/>
        </w:rPr>
        <w:t xml:space="preserve"> regularly engages with Bourdieu’s concepts in his analysis of late Ottoman Beirut</w:t>
      </w:r>
      <w:r>
        <w:rPr>
          <w:rFonts w:ascii="Palatino Linotype" w:hAnsi="Palatino Linotype"/>
        </w:rPr>
        <w:t xml:space="preserve">. </w:t>
      </w:r>
      <w:r w:rsidRPr="0097161D">
        <w:rPr>
          <w:rFonts w:ascii="Palatino Linotype" w:hAnsi="Palatino Linotype"/>
          <w:lang w:val="en-US"/>
        </w:rPr>
        <w:t>Although Practice Theory is not overtly referenced, similar concepts are</w:t>
      </w:r>
      <w:r>
        <w:rPr>
          <w:rFonts w:ascii="Palatino Linotype" w:hAnsi="Palatino Linotype"/>
          <w:lang w:val="en-US"/>
        </w:rPr>
        <w:t xml:space="preserve"> also</w:t>
      </w:r>
      <w:r w:rsidRPr="0097161D">
        <w:rPr>
          <w:rFonts w:ascii="Palatino Linotype" w:hAnsi="Palatino Linotype"/>
          <w:lang w:val="en-US"/>
        </w:rPr>
        <w:t xml:space="preserve"> employed by Harik in his study of political changes and the Maronite Church on Mount Lebanon during the eighteen and early nineteenth century. </w:t>
      </w:r>
      <w:r w:rsidRPr="0097161D">
        <w:rPr>
          <w:rFonts w:ascii="Palatino Linotype" w:hAnsi="Palatino Linotype"/>
        </w:rPr>
        <w:t xml:space="preserve">Iliya F. Harik, </w:t>
      </w:r>
      <w:r w:rsidRPr="0097161D">
        <w:rPr>
          <w:rFonts w:ascii="Palatino Linotype" w:hAnsi="Palatino Linotype"/>
          <w:i/>
        </w:rPr>
        <w:t>Politics and Change in a Traditional Society: Lebanon, 1711-1845</w:t>
      </w:r>
      <w:r>
        <w:rPr>
          <w:rFonts w:ascii="Palatino Linotype" w:hAnsi="Palatino Linotype"/>
        </w:rPr>
        <w:t xml:space="preserve"> (</w:t>
      </w:r>
      <w:r w:rsidRPr="0097161D">
        <w:rPr>
          <w:rFonts w:ascii="Palatino Linotype" w:hAnsi="Palatino Linotype"/>
        </w:rPr>
        <w:t>Princeton, New Jersey: Princeton University Press, 1968).</w:t>
      </w:r>
      <w:r w:rsidRPr="0097161D">
        <w:rPr>
          <w:rFonts w:ascii="Palatino Linotype" w:hAnsi="Palatino Linotype"/>
          <w:lang w:val="en-US"/>
        </w:rPr>
        <w:t xml:space="preserve"> </w:t>
      </w:r>
      <w:r w:rsidRPr="00C92EFD">
        <w:rPr>
          <w:rFonts w:ascii="Palatino Linotype" w:hAnsi="Palatino Linotype"/>
          <w:lang w:val="en-US"/>
        </w:rPr>
        <w:t>For an overview of the trends</w:t>
      </w:r>
      <w:r>
        <w:rPr>
          <w:rFonts w:ascii="Palatino Linotype" w:hAnsi="Palatino Linotype"/>
          <w:lang w:val="en-US"/>
        </w:rPr>
        <w:t xml:space="preserve"> influencing</w:t>
      </w:r>
      <w:r w:rsidRPr="00C92EFD">
        <w:rPr>
          <w:rFonts w:ascii="Palatino Linotype" w:hAnsi="Palatino Linotype"/>
          <w:lang w:val="en-US"/>
        </w:rPr>
        <w:t xml:space="preserve"> the study of women in the Middle East and Islamic world see Judith Tucker, ‘Methodologies, Paradigms and Sources for Studying Women and Islamic Cultures: Ottoman Arab Region: Mid-18</w:t>
      </w:r>
      <w:r w:rsidRPr="00C92EFD">
        <w:rPr>
          <w:rFonts w:ascii="Palatino Linotype" w:hAnsi="Palatino Linotype"/>
          <w:vertAlign w:val="superscript"/>
          <w:lang w:val="en-US"/>
        </w:rPr>
        <w:t>th</w:t>
      </w:r>
      <w:r w:rsidRPr="00C92EFD">
        <w:rPr>
          <w:rFonts w:ascii="Palatino Linotype" w:hAnsi="Palatino Linotype"/>
          <w:lang w:val="en-US"/>
        </w:rPr>
        <w:t xml:space="preserve"> to Early 20</w:t>
      </w:r>
      <w:r w:rsidRPr="00C92EFD">
        <w:rPr>
          <w:rFonts w:ascii="Palatino Linotype" w:hAnsi="Palatino Linotype"/>
          <w:vertAlign w:val="superscript"/>
          <w:lang w:val="en-US"/>
        </w:rPr>
        <w:t>th</w:t>
      </w:r>
      <w:r w:rsidRPr="00C92EFD">
        <w:rPr>
          <w:rFonts w:ascii="Palatino Linotype" w:hAnsi="Palatino Linotype"/>
          <w:lang w:val="en-US"/>
        </w:rPr>
        <w:t xml:space="preserve"> Century’, </w:t>
      </w:r>
      <w:r w:rsidRPr="00C92EFD">
        <w:rPr>
          <w:rFonts w:ascii="Palatino Linotype" w:hAnsi="Palatino Linotype"/>
        </w:rPr>
        <w:t xml:space="preserve">in: S. Joseph, (ed.), </w:t>
      </w:r>
      <w:r w:rsidRPr="00C92EFD">
        <w:rPr>
          <w:rFonts w:ascii="Palatino Linotype" w:hAnsi="Palatino Linotype"/>
          <w:i/>
        </w:rPr>
        <w:t>EWIC</w:t>
      </w:r>
      <w:r w:rsidRPr="00C92EFD">
        <w:rPr>
          <w:rFonts w:ascii="Palatino Linotype" w:hAnsi="Palatino Linotype"/>
        </w:rPr>
        <w:t xml:space="preserve">: </w:t>
      </w:r>
      <w:r w:rsidRPr="00C92EFD">
        <w:rPr>
          <w:rFonts w:ascii="Palatino Linotype" w:hAnsi="Palatino Linotype"/>
          <w:i/>
        </w:rPr>
        <w:t>Volume I</w:t>
      </w:r>
      <w:r w:rsidRPr="00C92EFD">
        <w:rPr>
          <w:rFonts w:ascii="Palatino Linotype" w:hAnsi="Palatino Linotype"/>
        </w:rPr>
        <w:t xml:space="preserve">: 143-152; </w:t>
      </w:r>
      <w:r w:rsidRPr="00C92EFD">
        <w:rPr>
          <w:rFonts w:ascii="Palatino Linotype" w:hAnsi="Palatino Linotype"/>
          <w:lang w:val="en-US"/>
        </w:rPr>
        <w:t xml:space="preserve">Marilyn Booth, ‘Middle East Women’s and Gender History: State of a Field’, </w:t>
      </w:r>
      <w:r w:rsidRPr="00C92EFD">
        <w:rPr>
          <w:rFonts w:ascii="Palatino Linotype" w:hAnsi="Palatino Linotype"/>
          <w:i/>
          <w:lang w:val="en-US"/>
        </w:rPr>
        <w:t xml:space="preserve">Journal of Colonialism and Colonial History, </w:t>
      </w:r>
      <w:r w:rsidRPr="00C92EFD">
        <w:rPr>
          <w:rFonts w:ascii="Palatino Linotype" w:hAnsi="Palatino Linotype"/>
          <w:lang w:val="en-US"/>
        </w:rPr>
        <w:t>[e-journal], 4:1 (2003).</w:t>
      </w:r>
    </w:p>
  </w:footnote>
  <w:footnote w:id="31">
    <w:p w:rsidR="00A15CD3" w:rsidRPr="0097161D" w:rsidRDefault="00A15CD3" w:rsidP="001761FF">
      <w:pPr>
        <w:pStyle w:val="FootnoteText"/>
        <w:ind w:left="90" w:hanging="90"/>
        <w:jc w:val="both"/>
        <w:rPr>
          <w:rFonts w:ascii="Palatino Linotype" w:hAnsi="Palatino Linotype"/>
        </w:rPr>
      </w:pPr>
      <w:r w:rsidRPr="0097161D">
        <w:rPr>
          <w:rStyle w:val="FootnoteReference"/>
          <w:rFonts w:ascii="Palatino Linotype" w:hAnsi="Palatino Linotype"/>
        </w:rPr>
        <w:footnoteRef/>
      </w:r>
      <w:r w:rsidRPr="0097161D">
        <w:rPr>
          <w:rFonts w:ascii="Palatino Linotype" w:hAnsi="Palatino Linotype"/>
        </w:rPr>
        <w:t xml:space="preserve"> </w:t>
      </w:r>
      <w:r>
        <w:rPr>
          <w:rFonts w:ascii="Palatino Linotype" w:hAnsi="Palatino Linotype"/>
        </w:rPr>
        <w:t>See</w:t>
      </w:r>
      <w:r w:rsidRPr="0097161D">
        <w:rPr>
          <w:rFonts w:ascii="Palatino Linotype" w:hAnsi="Palatino Linotype"/>
        </w:rPr>
        <w:t xml:space="preserve"> Pierre Bourdieu and Loïc J. D. Wacquant, </w:t>
      </w:r>
      <w:r w:rsidRPr="0097161D">
        <w:rPr>
          <w:rFonts w:ascii="Palatino Linotype" w:hAnsi="Palatino Linotype"/>
          <w:i/>
        </w:rPr>
        <w:t>An Invitation to Reflexive Sociology</w:t>
      </w:r>
      <w:r>
        <w:rPr>
          <w:rFonts w:ascii="Palatino Linotype" w:hAnsi="Palatino Linotype"/>
        </w:rPr>
        <w:t xml:space="preserve"> (</w:t>
      </w:r>
      <w:r w:rsidRPr="0097161D">
        <w:rPr>
          <w:rFonts w:ascii="Palatino Linotype" w:hAnsi="Palatino Linotype"/>
        </w:rPr>
        <w:t>Cambridge: Polity Press, 1992): 104-5</w:t>
      </w:r>
      <w:r>
        <w:rPr>
          <w:rFonts w:ascii="Palatino Linotype" w:hAnsi="Palatino Linotype"/>
        </w:rPr>
        <w:t>;</w:t>
      </w:r>
      <w:r w:rsidRPr="0097161D">
        <w:rPr>
          <w:rFonts w:ascii="Palatino Linotype" w:hAnsi="Palatino Linotype"/>
        </w:rPr>
        <w:t xml:space="preserve"> Pierre Bourdieu, </w:t>
      </w:r>
      <w:r w:rsidRPr="0097161D">
        <w:rPr>
          <w:rFonts w:ascii="Palatino Linotype" w:hAnsi="Palatino Linotype"/>
          <w:i/>
        </w:rPr>
        <w:t>Outline of a Theory of Practice</w:t>
      </w:r>
      <w:r>
        <w:rPr>
          <w:rFonts w:ascii="Palatino Linotype" w:hAnsi="Palatino Linotype"/>
        </w:rPr>
        <w:t xml:space="preserve"> (</w:t>
      </w:r>
      <w:r w:rsidRPr="0097161D">
        <w:rPr>
          <w:rFonts w:ascii="Palatino Linotype" w:hAnsi="Palatino Linotype"/>
        </w:rPr>
        <w:t>trans. Richard Nice)</w:t>
      </w:r>
      <w:r>
        <w:rPr>
          <w:rFonts w:ascii="Palatino Linotype" w:hAnsi="Palatino Linotype"/>
        </w:rPr>
        <w:t xml:space="preserve"> (</w:t>
      </w:r>
      <w:r w:rsidRPr="0097161D">
        <w:rPr>
          <w:rFonts w:ascii="Palatino Linotype" w:hAnsi="Palatino Linotype"/>
        </w:rPr>
        <w:t xml:space="preserve">Cambridge: Cambridge University Press, 1977); Pierre Bourdieu, </w:t>
      </w:r>
      <w:r w:rsidRPr="0097161D">
        <w:rPr>
          <w:rFonts w:ascii="Palatino Linotype" w:hAnsi="Palatino Linotype"/>
          <w:i/>
        </w:rPr>
        <w:t>Distinction: A Social Critique of the Judgement of Taste</w:t>
      </w:r>
      <w:r>
        <w:rPr>
          <w:rFonts w:ascii="Palatino Linotype" w:hAnsi="Palatino Linotype"/>
        </w:rPr>
        <w:t xml:space="preserve"> (</w:t>
      </w:r>
      <w:r w:rsidRPr="0097161D">
        <w:rPr>
          <w:rFonts w:ascii="Palatino Linotype" w:hAnsi="Palatino Linotype"/>
        </w:rPr>
        <w:t>trans. Richard Nice)</w:t>
      </w:r>
      <w:r>
        <w:rPr>
          <w:rFonts w:ascii="Palatino Linotype" w:hAnsi="Palatino Linotype"/>
        </w:rPr>
        <w:t xml:space="preserve"> (</w:t>
      </w:r>
      <w:r w:rsidRPr="0097161D">
        <w:rPr>
          <w:rFonts w:ascii="Palatino Linotype" w:hAnsi="Palatino Linotype"/>
        </w:rPr>
        <w:t xml:space="preserve">New York and London: Routledge, 1984); Michel De Certeau, </w:t>
      </w:r>
      <w:r w:rsidRPr="0097161D">
        <w:rPr>
          <w:rFonts w:ascii="Palatino Linotype" w:hAnsi="Palatino Linotype"/>
          <w:i/>
        </w:rPr>
        <w:t>The Practice of Everyday Life</w:t>
      </w:r>
      <w:r>
        <w:rPr>
          <w:rFonts w:ascii="Palatino Linotype" w:hAnsi="Palatino Linotype"/>
        </w:rPr>
        <w:t xml:space="preserve"> (</w:t>
      </w:r>
      <w:r w:rsidRPr="0097161D">
        <w:rPr>
          <w:rFonts w:ascii="Palatino Linotype" w:hAnsi="Palatino Linotype"/>
        </w:rPr>
        <w:t>trans. Steven Rendall)</w:t>
      </w:r>
      <w:r>
        <w:rPr>
          <w:rFonts w:ascii="Palatino Linotype" w:hAnsi="Palatino Linotype"/>
        </w:rPr>
        <w:t xml:space="preserve"> (</w:t>
      </w:r>
      <w:r w:rsidRPr="0097161D">
        <w:rPr>
          <w:rFonts w:ascii="Palatino Linotype" w:hAnsi="Palatino Linotype"/>
        </w:rPr>
        <w:t xml:space="preserve">Berkley, Los Angeles, London: University of California Press, 1984); Marshall Sahlins, </w:t>
      </w:r>
      <w:r w:rsidRPr="0097161D">
        <w:rPr>
          <w:rFonts w:ascii="Palatino Linotype" w:hAnsi="Palatino Linotype"/>
          <w:i/>
        </w:rPr>
        <w:t>Historical Metaphors and Mythical Realities: Structure in the Early History of the Sandwich Islands Kingdoms</w:t>
      </w:r>
      <w:r>
        <w:rPr>
          <w:rFonts w:ascii="Palatino Linotype" w:hAnsi="Palatino Linotype"/>
        </w:rPr>
        <w:t xml:space="preserve"> (</w:t>
      </w:r>
      <w:r w:rsidRPr="0097161D">
        <w:rPr>
          <w:rFonts w:ascii="Palatino Linotype" w:hAnsi="Palatino Linotype"/>
        </w:rPr>
        <w:t xml:space="preserve">Ann Arbor: The University of Michigan Press, 1981); Sherry B. Ortner, </w:t>
      </w:r>
      <w:r w:rsidRPr="0097161D">
        <w:rPr>
          <w:rFonts w:ascii="Palatino Linotype" w:hAnsi="Palatino Linotype"/>
          <w:i/>
        </w:rPr>
        <w:t>Making Gender: The Politics and Erotics of Gender</w:t>
      </w:r>
      <w:r>
        <w:rPr>
          <w:rFonts w:ascii="Palatino Linotype" w:hAnsi="Palatino Linotype"/>
          <w:i/>
        </w:rPr>
        <w:t xml:space="preserve"> (</w:t>
      </w:r>
      <w:r w:rsidRPr="0097161D">
        <w:rPr>
          <w:rFonts w:ascii="Palatino Linotype" w:hAnsi="Palatino Linotype"/>
        </w:rPr>
        <w:t>Boston: Beacon Press, 1996).</w:t>
      </w:r>
    </w:p>
  </w:footnote>
  <w:footnote w:id="32">
    <w:p w:rsidR="00A15CD3" w:rsidRPr="0097161D" w:rsidRDefault="00A15CD3" w:rsidP="001761FF">
      <w:pPr>
        <w:pStyle w:val="FootnoteText"/>
        <w:ind w:left="90" w:hanging="90"/>
        <w:jc w:val="both"/>
        <w:rPr>
          <w:rFonts w:ascii="Palatino Linotype" w:hAnsi="Palatino Linotype"/>
        </w:rPr>
      </w:pPr>
      <w:r w:rsidRPr="0097161D">
        <w:rPr>
          <w:rStyle w:val="FootnoteReference"/>
          <w:rFonts w:ascii="Palatino Linotype" w:hAnsi="Palatino Linotype"/>
        </w:rPr>
        <w:footnoteRef/>
      </w:r>
      <w:r w:rsidRPr="0097161D">
        <w:rPr>
          <w:rFonts w:ascii="Palatino Linotype" w:hAnsi="Palatino Linotype"/>
        </w:rPr>
        <w:t xml:space="preserve"> For </w:t>
      </w:r>
      <w:r>
        <w:rPr>
          <w:rFonts w:ascii="Palatino Linotype" w:hAnsi="Palatino Linotype"/>
        </w:rPr>
        <w:t xml:space="preserve">post-colonial </w:t>
      </w:r>
      <w:r w:rsidRPr="0097161D">
        <w:rPr>
          <w:rFonts w:ascii="Palatino Linotype" w:hAnsi="Palatino Linotype"/>
        </w:rPr>
        <w:t>engagements</w:t>
      </w:r>
      <w:r>
        <w:rPr>
          <w:rFonts w:ascii="Palatino Linotype" w:hAnsi="Palatino Linotype"/>
        </w:rPr>
        <w:t xml:space="preserve"> and critics of</w:t>
      </w:r>
      <w:r w:rsidRPr="0097161D">
        <w:rPr>
          <w:rFonts w:ascii="Palatino Linotype" w:hAnsi="Palatino Linotype"/>
        </w:rPr>
        <w:t xml:space="preserve"> Bourdieu and Practice Theory see</w:t>
      </w:r>
      <w:r w:rsidRPr="0097161D">
        <w:rPr>
          <w:rFonts w:ascii="Palatino Linotype" w:hAnsi="Palatino Linotype"/>
          <w:lang w:val="en-US"/>
        </w:rPr>
        <w:t xml:space="preserve"> </w:t>
      </w:r>
      <w:r w:rsidRPr="0097161D">
        <w:rPr>
          <w:rFonts w:ascii="Palatino Linotype" w:hAnsi="Palatino Linotype"/>
        </w:rPr>
        <w:t xml:space="preserve">Michael Hanchard, ‘Acts of Misrecognition: Transnational Black Politics, Anti-Imperialism and the Ethnocentrisms of Pierre Bourdieu and Loïc Wacquant’, </w:t>
      </w:r>
      <w:r w:rsidRPr="0097161D">
        <w:rPr>
          <w:rFonts w:ascii="Palatino Linotype" w:hAnsi="Palatino Linotype"/>
          <w:i/>
        </w:rPr>
        <w:t>Theory, Culture and Society</w:t>
      </w:r>
      <w:r w:rsidRPr="0097161D">
        <w:rPr>
          <w:rFonts w:ascii="Palatino Linotype" w:hAnsi="Palatino Linotype"/>
        </w:rPr>
        <w:t>,</w:t>
      </w:r>
      <w:r w:rsidRPr="0097161D">
        <w:rPr>
          <w:rFonts w:ascii="Palatino Linotype" w:hAnsi="Palatino Linotype"/>
          <w:i/>
        </w:rPr>
        <w:t xml:space="preserve"> </w:t>
      </w:r>
      <w:r w:rsidRPr="0097161D">
        <w:rPr>
          <w:rFonts w:ascii="Palatino Linotype" w:hAnsi="Palatino Linotype"/>
        </w:rPr>
        <w:t xml:space="preserve">20: 4 (2003): 5-29 and Andrew Smith, ‘“Beyond a Boundary” (of a “Field of Cultural Production”) Reading C.L.R. James with Bourdieu’, </w:t>
      </w:r>
      <w:r w:rsidRPr="0097161D">
        <w:rPr>
          <w:rFonts w:ascii="Palatino Linotype" w:hAnsi="Palatino Linotype"/>
          <w:i/>
        </w:rPr>
        <w:t>Theory, Culture and Society</w:t>
      </w:r>
      <w:r w:rsidRPr="0097161D">
        <w:rPr>
          <w:rFonts w:ascii="Palatino Linotype" w:hAnsi="Palatino Linotype"/>
        </w:rPr>
        <w:t xml:space="preserve">, 23:4 (2006): 95-112. Feminist analysis of Bourdieu and the Theory of Practice include Toril Moi, ‘Appropriating Bourdieu: Feminist Theory and Pierre Bourdieu’s Sociology of Culture’, </w:t>
      </w:r>
      <w:r w:rsidRPr="0097161D">
        <w:rPr>
          <w:rFonts w:ascii="Palatino Linotype" w:hAnsi="Palatino Linotype"/>
          <w:i/>
        </w:rPr>
        <w:t>New Literary History</w:t>
      </w:r>
      <w:r w:rsidRPr="0097161D">
        <w:rPr>
          <w:rFonts w:ascii="Palatino Linotype" w:hAnsi="Palatino Linotype"/>
        </w:rPr>
        <w:t xml:space="preserve">, 22:4 (1991): 1017-1049; </w:t>
      </w:r>
      <w:r w:rsidRPr="0097161D">
        <w:rPr>
          <w:rFonts w:ascii="Palatino Linotype" w:hAnsi="Palatino Linotype"/>
          <w:lang w:val="en-US"/>
        </w:rPr>
        <w:t xml:space="preserve">Lisa Adkins, ‘Reflexivity: Freedom of Habit or Gender?’, </w:t>
      </w:r>
      <w:r w:rsidRPr="0097161D">
        <w:rPr>
          <w:rFonts w:ascii="Palatino Linotype" w:hAnsi="Palatino Linotype"/>
          <w:i/>
          <w:lang w:val="en-US"/>
        </w:rPr>
        <w:t>Sociological Review: Theory Culture and Society</w:t>
      </w:r>
      <w:r w:rsidRPr="0097161D">
        <w:rPr>
          <w:rFonts w:ascii="Palatino Linotype" w:hAnsi="Palatino Linotype"/>
          <w:lang w:val="en-US"/>
        </w:rPr>
        <w:t>, 20: 6 (2003): 21-42; Lisa Adkins and Beverley Skeggs</w:t>
      </w:r>
      <w:r>
        <w:rPr>
          <w:rFonts w:ascii="Palatino Linotype" w:hAnsi="Palatino Linotype"/>
          <w:lang w:val="en-US"/>
        </w:rPr>
        <w:t>, (ed</w:t>
      </w:r>
      <w:r w:rsidRPr="0097161D">
        <w:rPr>
          <w:rFonts w:ascii="Palatino Linotype" w:hAnsi="Palatino Linotype"/>
          <w:lang w:val="en-US"/>
        </w:rPr>
        <w:t xml:space="preserve">s.), </w:t>
      </w:r>
      <w:r w:rsidRPr="0097161D">
        <w:rPr>
          <w:rFonts w:ascii="Palatino Linotype" w:hAnsi="Palatino Linotype"/>
          <w:i/>
          <w:lang w:val="en-US"/>
        </w:rPr>
        <w:t>Feminism After Bourdieu</w:t>
      </w:r>
      <w:r>
        <w:rPr>
          <w:rFonts w:ascii="Palatino Linotype" w:hAnsi="Palatino Linotype"/>
          <w:lang w:val="en-US"/>
        </w:rPr>
        <w:t xml:space="preserve"> (</w:t>
      </w:r>
      <w:r w:rsidRPr="0097161D">
        <w:rPr>
          <w:rFonts w:ascii="Palatino Linotype" w:hAnsi="Palatino Linotype"/>
          <w:lang w:val="en-US"/>
        </w:rPr>
        <w:t xml:space="preserve">Oxford: Blackwell, 2004); </w:t>
      </w:r>
      <w:r w:rsidRPr="0097161D">
        <w:rPr>
          <w:rFonts w:ascii="Palatino Linotype" w:hAnsi="Palatino Linotype"/>
        </w:rPr>
        <w:t xml:space="preserve">Lois McNay, ‘Agency and Experience: Gender as a Lived Relation’, </w:t>
      </w:r>
      <w:r w:rsidRPr="0097161D">
        <w:rPr>
          <w:rFonts w:ascii="Palatino Linotype" w:hAnsi="Palatino Linotype"/>
          <w:i/>
        </w:rPr>
        <w:t>Sociological Review</w:t>
      </w:r>
      <w:r w:rsidRPr="0097161D">
        <w:rPr>
          <w:rFonts w:ascii="Palatino Linotype" w:hAnsi="Palatino Linotype"/>
        </w:rPr>
        <w:t xml:space="preserve">, 52:2 (2005): 173-190; Lois McNay, ‘Gender, Habitus and the Field: Pierre Bourdieu and the Limits of Reflexivity’, </w:t>
      </w:r>
      <w:r w:rsidRPr="0097161D">
        <w:rPr>
          <w:rFonts w:ascii="Palatino Linotype" w:hAnsi="Palatino Linotype"/>
          <w:i/>
        </w:rPr>
        <w:t>Theory, Culture and Society</w:t>
      </w:r>
      <w:r w:rsidRPr="0097161D">
        <w:rPr>
          <w:rFonts w:ascii="Palatino Linotype" w:hAnsi="Palatino Linotype"/>
        </w:rPr>
        <w:t>,</w:t>
      </w:r>
      <w:r>
        <w:rPr>
          <w:rFonts w:ascii="Palatino Linotype" w:hAnsi="Palatino Linotype"/>
        </w:rPr>
        <w:t xml:space="preserve"> </w:t>
      </w:r>
      <w:r w:rsidRPr="0097161D">
        <w:rPr>
          <w:rFonts w:ascii="Palatino Linotype" w:hAnsi="Palatino Linotype"/>
        </w:rPr>
        <w:t xml:space="preserve">16:1 (1999): 95-117. </w:t>
      </w:r>
    </w:p>
  </w:footnote>
  <w:footnote w:id="33">
    <w:p w:rsidR="00A15CD3" w:rsidRPr="0097161D" w:rsidRDefault="00A15CD3" w:rsidP="001761FF">
      <w:pPr>
        <w:pStyle w:val="FootnoteText"/>
        <w:ind w:left="90" w:hanging="90"/>
        <w:jc w:val="both"/>
        <w:rPr>
          <w:rFonts w:ascii="Palatino Linotype" w:hAnsi="Palatino Linotype"/>
        </w:rPr>
      </w:pPr>
      <w:r w:rsidRPr="0097161D">
        <w:rPr>
          <w:rStyle w:val="FootnoteReference"/>
          <w:rFonts w:ascii="Palatino Linotype" w:hAnsi="Palatino Linotype"/>
        </w:rPr>
        <w:footnoteRef/>
      </w:r>
      <w:r w:rsidRPr="0097161D">
        <w:rPr>
          <w:rFonts w:ascii="Palatino Linotype" w:hAnsi="Palatino Linotype"/>
        </w:rPr>
        <w:t xml:space="preserve"> Comaroff and Comaroff, </w:t>
      </w:r>
      <w:r>
        <w:rPr>
          <w:rFonts w:ascii="Palatino Linotype" w:hAnsi="Palatino Linotype"/>
          <w:i/>
        </w:rPr>
        <w:t>RR</w:t>
      </w:r>
      <w:r w:rsidRPr="0097161D">
        <w:rPr>
          <w:rFonts w:ascii="Palatino Linotype" w:hAnsi="Palatino Linotype"/>
          <w:i/>
        </w:rPr>
        <w:t>: I</w:t>
      </w:r>
      <w:r w:rsidRPr="0097161D">
        <w:rPr>
          <w:rFonts w:ascii="Palatino Linotype" w:hAnsi="Palatino Linotype"/>
        </w:rPr>
        <w:t xml:space="preserve">; Comaroff and Comaroff, </w:t>
      </w:r>
      <w:r>
        <w:rPr>
          <w:rFonts w:ascii="Palatino Linotype" w:hAnsi="Palatino Linotype"/>
          <w:i/>
        </w:rPr>
        <w:t>RR</w:t>
      </w:r>
      <w:r w:rsidRPr="0097161D">
        <w:rPr>
          <w:rFonts w:ascii="Palatino Linotype" w:hAnsi="Palatino Linotype"/>
          <w:i/>
        </w:rPr>
        <w:t>: II</w:t>
      </w:r>
      <w:r w:rsidRPr="0097161D">
        <w:rPr>
          <w:rFonts w:ascii="Palatino Linotype" w:hAnsi="Palatino Linotype"/>
        </w:rPr>
        <w:t xml:space="preserve">. </w:t>
      </w:r>
    </w:p>
  </w:footnote>
  <w:footnote w:id="34">
    <w:p w:rsidR="00A15CD3" w:rsidRPr="0097161D" w:rsidRDefault="00A15CD3" w:rsidP="001761FF">
      <w:pPr>
        <w:pStyle w:val="FootnoteText"/>
        <w:ind w:left="90" w:hanging="90"/>
        <w:jc w:val="both"/>
        <w:rPr>
          <w:rFonts w:ascii="Palatino Linotype" w:hAnsi="Palatino Linotype"/>
        </w:rPr>
      </w:pPr>
      <w:r w:rsidRPr="0097161D">
        <w:rPr>
          <w:rStyle w:val="FootnoteReference"/>
          <w:rFonts w:ascii="Palatino Linotype" w:hAnsi="Palatino Linotype"/>
        </w:rPr>
        <w:footnoteRef/>
      </w:r>
      <w:r w:rsidRPr="0097161D">
        <w:rPr>
          <w:rFonts w:ascii="Palatino Linotype" w:hAnsi="Palatino Linotype"/>
        </w:rPr>
        <w:t xml:space="preserve"> Pierre Bourdieu and Loïc Wacquant, ‘On the Cunning of Imperialist Reason’</w:t>
      </w:r>
      <w:r>
        <w:rPr>
          <w:rFonts w:ascii="Palatino Linotype" w:hAnsi="Palatino Linotype"/>
        </w:rPr>
        <w:t xml:space="preserve"> (</w:t>
      </w:r>
      <w:r w:rsidRPr="0097161D">
        <w:rPr>
          <w:rFonts w:ascii="Palatino Linotype" w:hAnsi="Palatino Linotype"/>
        </w:rPr>
        <w:t xml:space="preserve">trans. Derek M. Robbins and Loïc Wacquant), </w:t>
      </w:r>
      <w:r w:rsidRPr="0097161D">
        <w:rPr>
          <w:rFonts w:ascii="Palatino Linotype" w:hAnsi="Palatino Linotype"/>
          <w:i/>
        </w:rPr>
        <w:t>Theory, Culture and Society</w:t>
      </w:r>
      <w:r w:rsidRPr="0097161D">
        <w:rPr>
          <w:rFonts w:ascii="Palatino Linotype" w:hAnsi="Palatino Linotype"/>
        </w:rPr>
        <w:t xml:space="preserve">, 16:1 (1999): 41; Randal Johnson, ‘Editor’s Note’,  in Pierre Bourdieu, </w:t>
      </w:r>
      <w:r w:rsidRPr="0097161D">
        <w:rPr>
          <w:rFonts w:ascii="Palatino Linotype" w:hAnsi="Palatino Linotype"/>
          <w:i/>
        </w:rPr>
        <w:t>The Field of Cultural Production: Essays on Art and Literature</w:t>
      </w:r>
      <w:r>
        <w:rPr>
          <w:rFonts w:ascii="Palatino Linotype" w:hAnsi="Palatino Linotype"/>
        </w:rPr>
        <w:t>, (ed</w:t>
      </w:r>
      <w:r w:rsidRPr="0097161D">
        <w:rPr>
          <w:rFonts w:ascii="Palatino Linotype" w:hAnsi="Palatino Linotype"/>
        </w:rPr>
        <w:t>. and trans. Randal Johnson)</w:t>
      </w:r>
      <w:r>
        <w:rPr>
          <w:rFonts w:ascii="Palatino Linotype" w:hAnsi="Palatino Linotype"/>
        </w:rPr>
        <w:t xml:space="preserve"> (</w:t>
      </w:r>
      <w:r w:rsidRPr="0097161D">
        <w:rPr>
          <w:rFonts w:ascii="Palatino Linotype" w:hAnsi="Palatino Linotype"/>
        </w:rPr>
        <w:t xml:space="preserve">Cambridge: Polity Press, 1993): 19. </w:t>
      </w:r>
      <w:r w:rsidRPr="0097161D">
        <w:rPr>
          <w:rFonts w:ascii="Palatino Linotype" w:hAnsi="Palatino Linotype"/>
          <w:lang w:val="en-US"/>
        </w:rPr>
        <w:t>For a similar criticism of how Marxism has been applied</w:t>
      </w:r>
      <w:r>
        <w:rPr>
          <w:rFonts w:ascii="Palatino Linotype" w:hAnsi="Palatino Linotype"/>
          <w:lang w:val="en-US"/>
        </w:rPr>
        <w:t>, but</w:t>
      </w:r>
      <w:r w:rsidRPr="0097161D">
        <w:rPr>
          <w:rFonts w:ascii="Palatino Linotype" w:hAnsi="Palatino Linotype"/>
          <w:lang w:val="en-US"/>
        </w:rPr>
        <w:t xml:space="preserve"> does not </w:t>
      </w:r>
      <w:r>
        <w:rPr>
          <w:rFonts w:ascii="Palatino Linotype" w:hAnsi="Palatino Linotype"/>
          <w:lang w:val="en-US"/>
        </w:rPr>
        <w:t>resolve the</w:t>
      </w:r>
      <w:r w:rsidRPr="0097161D">
        <w:rPr>
          <w:rFonts w:ascii="Palatino Linotype" w:hAnsi="Palatino Linotype"/>
          <w:lang w:val="en-US"/>
        </w:rPr>
        <w:t xml:space="preserve"> Eurocentric focus of its terms and concepts see </w:t>
      </w:r>
      <w:r w:rsidRPr="0097161D">
        <w:rPr>
          <w:rFonts w:ascii="Palatino Linotype" w:hAnsi="Palatino Linotype"/>
        </w:rPr>
        <w:t xml:space="preserve">John T. Chalcraft, ‘Pluralizing Capital, Challenging Eurocentrism: Toward Post-Marxist Historiography’, </w:t>
      </w:r>
      <w:r w:rsidRPr="0097161D">
        <w:rPr>
          <w:rFonts w:ascii="Palatino Linotype" w:hAnsi="Palatino Linotype"/>
          <w:i/>
        </w:rPr>
        <w:t>Radical History Review</w:t>
      </w:r>
      <w:r w:rsidRPr="0097161D">
        <w:rPr>
          <w:rFonts w:ascii="Palatino Linotype" w:hAnsi="Palatino Linotype"/>
        </w:rPr>
        <w:t>, 91</w:t>
      </w:r>
      <w:r>
        <w:rPr>
          <w:rFonts w:ascii="Palatino Linotype" w:hAnsi="Palatino Linotype"/>
        </w:rPr>
        <w:t xml:space="preserve"> (</w:t>
      </w:r>
      <w:r w:rsidRPr="0097161D">
        <w:rPr>
          <w:rFonts w:ascii="Palatino Linotype" w:hAnsi="Palatino Linotype"/>
        </w:rPr>
        <w:t>2005): 12-39</w:t>
      </w:r>
      <w:r w:rsidRPr="0097161D">
        <w:rPr>
          <w:rFonts w:ascii="Palatino Linotype" w:hAnsi="Palatino Linotype"/>
          <w:lang w:val="en-US"/>
        </w:rPr>
        <w:t>.</w:t>
      </w:r>
    </w:p>
  </w:footnote>
  <w:footnote w:id="35">
    <w:p w:rsidR="00A15CD3" w:rsidRPr="0097161D" w:rsidRDefault="00A15CD3" w:rsidP="001761FF">
      <w:pPr>
        <w:pStyle w:val="FootnoteText"/>
        <w:ind w:left="90" w:hanging="90"/>
        <w:jc w:val="both"/>
        <w:rPr>
          <w:rFonts w:ascii="Palatino Linotype" w:hAnsi="Palatino Linotype"/>
          <w:lang w:val="en-US"/>
        </w:rPr>
      </w:pPr>
      <w:r w:rsidRPr="0097161D">
        <w:rPr>
          <w:rStyle w:val="FootnoteReference"/>
          <w:rFonts w:ascii="Palatino Linotype" w:hAnsi="Palatino Linotype"/>
        </w:rPr>
        <w:footnoteRef/>
      </w:r>
      <w:r w:rsidRPr="0097161D">
        <w:rPr>
          <w:rFonts w:ascii="Palatino Linotype" w:hAnsi="Palatino Linotype"/>
        </w:rPr>
        <w:t xml:space="preserve"> Pierre Bourdieu, </w:t>
      </w:r>
      <w:r w:rsidRPr="0097161D">
        <w:rPr>
          <w:rFonts w:ascii="Palatino Linotype" w:hAnsi="Palatino Linotype"/>
          <w:i/>
        </w:rPr>
        <w:t>Pascalian Meditations</w:t>
      </w:r>
      <w:r>
        <w:rPr>
          <w:rFonts w:ascii="Palatino Linotype" w:hAnsi="Palatino Linotype"/>
        </w:rPr>
        <w:t xml:space="preserve"> (</w:t>
      </w:r>
      <w:r w:rsidRPr="0097161D">
        <w:rPr>
          <w:rFonts w:ascii="Palatino Linotype" w:hAnsi="Palatino Linotype"/>
        </w:rPr>
        <w:t>trans. Richard Nice)</w:t>
      </w:r>
      <w:r>
        <w:rPr>
          <w:rFonts w:ascii="Palatino Linotype" w:hAnsi="Palatino Linotype"/>
        </w:rPr>
        <w:t xml:space="preserve"> (</w:t>
      </w:r>
      <w:r w:rsidRPr="0097161D">
        <w:rPr>
          <w:rFonts w:ascii="Palatino Linotype" w:hAnsi="Palatino Linotype"/>
        </w:rPr>
        <w:t xml:space="preserve">Cambridge: Polity Press, 2000): 93-94; Johnson, ‘Editor’s Note’: 19. Also see </w:t>
      </w:r>
      <w:r w:rsidRPr="0097161D">
        <w:rPr>
          <w:rFonts w:ascii="Palatino Linotype" w:hAnsi="Palatino Linotype"/>
          <w:lang w:val="en-US"/>
        </w:rPr>
        <w:t xml:space="preserve">Leslie A. Adelson, </w:t>
      </w:r>
      <w:r w:rsidRPr="0097161D">
        <w:rPr>
          <w:rFonts w:ascii="Palatino Linotype" w:hAnsi="Palatino Linotype"/>
          <w:i/>
          <w:lang w:val="en-US"/>
        </w:rPr>
        <w:t>The Turkish Turn in Contemporary German Literature: Toward A New Critical Grammar of Migration</w:t>
      </w:r>
      <w:r>
        <w:rPr>
          <w:rFonts w:ascii="Palatino Linotype" w:hAnsi="Palatino Linotype"/>
          <w:lang w:val="en-US"/>
        </w:rPr>
        <w:t xml:space="preserve"> (</w:t>
      </w:r>
      <w:r w:rsidRPr="0097161D">
        <w:rPr>
          <w:rFonts w:ascii="Palatino Linotype" w:hAnsi="Palatino Linotype"/>
          <w:lang w:val="en-US"/>
        </w:rPr>
        <w:t>New York and Basingstoke: Palgrave Macmillan, 2005): 12-13.</w:t>
      </w:r>
    </w:p>
  </w:footnote>
  <w:footnote w:id="36">
    <w:p w:rsidR="00A15CD3" w:rsidRPr="0097161D" w:rsidRDefault="00A15CD3" w:rsidP="001761FF">
      <w:pPr>
        <w:pStyle w:val="FootnoteText"/>
        <w:ind w:left="90" w:hanging="90"/>
        <w:jc w:val="both"/>
        <w:rPr>
          <w:rFonts w:ascii="Palatino Linotype" w:hAnsi="Palatino Linotype"/>
        </w:rPr>
      </w:pPr>
      <w:r w:rsidRPr="0097161D">
        <w:rPr>
          <w:rStyle w:val="FootnoteReference"/>
          <w:rFonts w:ascii="Palatino Linotype" w:hAnsi="Palatino Linotype"/>
        </w:rPr>
        <w:footnoteRef/>
      </w:r>
      <w:r w:rsidRPr="0097161D">
        <w:rPr>
          <w:rFonts w:ascii="Palatino Linotype" w:hAnsi="Palatino Linotype"/>
        </w:rPr>
        <w:t xml:space="preserve"> </w:t>
      </w:r>
      <w:r w:rsidRPr="006C7C8C">
        <w:rPr>
          <w:rFonts w:ascii="Palatino Linotype" w:hAnsi="Palatino Linotype"/>
        </w:rPr>
        <w:t>Some scholars employed the phrase ‘social space’, instead of fields, to emphasise the physical dimension of these systems</w:t>
      </w:r>
      <w:r>
        <w:rPr>
          <w:rFonts w:ascii="Palatino Linotype" w:hAnsi="Palatino Linotype"/>
        </w:rPr>
        <w:t>. e.g.</w:t>
      </w:r>
      <w:r w:rsidRPr="006C7C8C">
        <w:rPr>
          <w:rFonts w:ascii="Palatino Linotype" w:hAnsi="Palatino Linotype"/>
        </w:rPr>
        <w:t xml:space="preserve"> </w:t>
      </w:r>
      <w:r w:rsidRPr="0097161D">
        <w:rPr>
          <w:rFonts w:ascii="Palatino Linotype" w:hAnsi="Palatino Linotype"/>
        </w:rPr>
        <w:t xml:space="preserve">Beshara Doumani, </w:t>
      </w:r>
      <w:r w:rsidRPr="0097161D">
        <w:rPr>
          <w:rFonts w:ascii="Palatino Linotype" w:hAnsi="Palatino Linotype"/>
          <w:i/>
          <w:lang w:val="en-US"/>
        </w:rPr>
        <w:t>Rediscovering Palestine: Merchants and Peasants in Jabal Nablus, 1700-1900</w:t>
      </w:r>
      <w:r>
        <w:rPr>
          <w:rFonts w:ascii="Palatino Linotype" w:hAnsi="Palatino Linotype"/>
          <w:lang w:val="en-US"/>
        </w:rPr>
        <w:t xml:space="preserve"> (</w:t>
      </w:r>
      <w:r w:rsidRPr="0097161D">
        <w:rPr>
          <w:rFonts w:ascii="Palatino Linotype" w:hAnsi="Palatino Linotype"/>
          <w:lang w:val="en-US"/>
        </w:rPr>
        <w:t xml:space="preserve">Berkeley and London: University of California Press, 1995): 21; </w:t>
      </w:r>
      <w:r w:rsidRPr="0097161D">
        <w:rPr>
          <w:rFonts w:ascii="Palatino Linotype" w:hAnsi="Palatino Linotype"/>
        </w:rPr>
        <w:t>Thomas Philipp, ‘Identities and Loyalties in Bilad al-Sham at the Beginning of the Early Modern Period’, in: T. Philipp and C. Schumann</w:t>
      </w:r>
      <w:r>
        <w:rPr>
          <w:rFonts w:ascii="Palatino Linotype" w:hAnsi="Palatino Linotype"/>
        </w:rPr>
        <w:t>, (ed</w:t>
      </w:r>
      <w:r w:rsidRPr="0097161D">
        <w:rPr>
          <w:rFonts w:ascii="Palatino Linotype" w:hAnsi="Palatino Linotype"/>
        </w:rPr>
        <w:t xml:space="preserve">s.), </w:t>
      </w:r>
      <w:r w:rsidRPr="0097161D">
        <w:rPr>
          <w:rFonts w:ascii="Palatino Linotype" w:hAnsi="Palatino Linotype"/>
          <w:i/>
        </w:rPr>
        <w:t>From the Syrian Land to the States of Syria and Lebanon</w:t>
      </w:r>
      <w:r>
        <w:rPr>
          <w:rFonts w:ascii="Palatino Linotype" w:hAnsi="Palatino Linotype"/>
        </w:rPr>
        <w:t xml:space="preserve"> (</w:t>
      </w:r>
      <w:r w:rsidRPr="0097161D">
        <w:rPr>
          <w:rFonts w:ascii="Palatino Linotype" w:hAnsi="Palatino Linotype"/>
        </w:rPr>
        <w:t xml:space="preserve">Beirut: Orient-Institute, 2004): 10-11; Jens Hanssen, </w:t>
      </w:r>
      <w:r w:rsidRPr="0097161D">
        <w:rPr>
          <w:rFonts w:ascii="Palatino Linotype" w:hAnsi="Palatino Linotype"/>
          <w:i/>
        </w:rPr>
        <w:t>Fin de Siècle Beirut: The Making of an Ottoman Provencal Capital</w:t>
      </w:r>
      <w:r>
        <w:rPr>
          <w:rFonts w:ascii="Palatino Linotype" w:hAnsi="Palatino Linotype"/>
        </w:rPr>
        <w:t xml:space="preserve"> (</w:t>
      </w:r>
      <w:r w:rsidRPr="0097161D">
        <w:rPr>
          <w:rFonts w:ascii="Palatino Linotype" w:hAnsi="Palatino Linotype"/>
        </w:rPr>
        <w:t>Oxford: Clarendom Press, 2005): 4.</w:t>
      </w:r>
    </w:p>
  </w:footnote>
  <w:footnote w:id="37">
    <w:p w:rsidR="00A15CD3" w:rsidRPr="0097161D" w:rsidRDefault="00A15CD3" w:rsidP="001761FF">
      <w:pPr>
        <w:pStyle w:val="FootnoteText"/>
        <w:ind w:left="90" w:hanging="90"/>
        <w:jc w:val="both"/>
        <w:rPr>
          <w:rFonts w:ascii="Palatino Linotype" w:hAnsi="Palatino Linotype"/>
        </w:rPr>
      </w:pPr>
      <w:r w:rsidRPr="0097161D">
        <w:rPr>
          <w:rStyle w:val="FootnoteReference"/>
          <w:rFonts w:ascii="Palatino Linotype" w:hAnsi="Palatino Linotype"/>
        </w:rPr>
        <w:footnoteRef/>
      </w:r>
      <w:r w:rsidRPr="0097161D">
        <w:rPr>
          <w:rFonts w:ascii="Palatino Linotype" w:hAnsi="Palatino Linotype"/>
        </w:rPr>
        <w:t xml:space="preserve"> Bourdieu, </w:t>
      </w:r>
      <w:r w:rsidRPr="0097161D">
        <w:rPr>
          <w:rFonts w:ascii="Palatino Linotype" w:hAnsi="Palatino Linotype"/>
          <w:i/>
        </w:rPr>
        <w:t>Pascalian Meditations</w:t>
      </w:r>
      <w:r w:rsidRPr="0097161D">
        <w:rPr>
          <w:rFonts w:ascii="Palatino Linotype" w:hAnsi="Palatino Linotype"/>
        </w:rPr>
        <w:t>: 99.</w:t>
      </w:r>
    </w:p>
  </w:footnote>
  <w:footnote w:id="38">
    <w:p w:rsidR="00A15CD3" w:rsidRPr="0097161D" w:rsidRDefault="00A15CD3" w:rsidP="001761FF">
      <w:pPr>
        <w:pStyle w:val="FootnoteText"/>
        <w:ind w:left="90" w:hanging="90"/>
        <w:jc w:val="both"/>
        <w:rPr>
          <w:rFonts w:ascii="Palatino Linotype" w:hAnsi="Palatino Linotype"/>
        </w:rPr>
      </w:pPr>
      <w:r w:rsidRPr="0097161D">
        <w:rPr>
          <w:rStyle w:val="FootnoteReference"/>
          <w:rFonts w:ascii="Palatino Linotype" w:hAnsi="Palatino Linotype"/>
        </w:rPr>
        <w:footnoteRef/>
      </w:r>
      <w:r w:rsidRPr="0097161D">
        <w:rPr>
          <w:rFonts w:ascii="Palatino Linotype" w:hAnsi="Palatino Linotype"/>
        </w:rPr>
        <w:t xml:space="preserve"> Bourdieu and Wacquant, </w:t>
      </w:r>
      <w:r w:rsidRPr="0097161D">
        <w:rPr>
          <w:rFonts w:ascii="Palatino Linotype" w:hAnsi="Palatino Linotype"/>
          <w:i/>
        </w:rPr>
        <w:t>An Invitation to Reflexive Sociology</w:t>
      </w:r>
      <w:r w:rsidRPr="0097161D">
        <w:rPr>
          <w:rFonts w:ascii="Palatino Linotype" w:hAnsi="Palatino Linotype"/>
        </w:rPr>
        <w:t xml:space="preserve">: 32; Harik, </w:t>
      </w:r>
      <w:r w:rsidRPr="0097161D">
        <w:rPr>
          <w:rFonts w:ascii="Palatino Linotype" w:hAnsi="Palatino Linotype"/>
          <w:i/>
        </w:rPr>
        <w:t>Politics and Change in a Traditional Society</w:t>
      </w:r>
      <w:r w:rsidRPr="0097161D">
        <w:rPr>
          <w:rFonts w:ascii="Palatino Linotype" w:hAnsi="Palatino Linotype"/>
        </w:rPr>
        <w:t>: 5.</w:t>
      </w:r>
    </w:p>
  </w:footnote>
  <w:footnote w:id="39">
    <w:p w:rsidR="00A15CD3" w:rsidRPr="0097161D" w:rsidRDefault="00A15CD3" w:rsidP="001761FF">
      <w:pPr>
        <w:pStyle w:val="FootnoteText"/>
        <w:ind w:left="90" w:hanging="90"/>
        <w:jc w:val="both"/>
        <w:rPr>
          <w:rFonts w:ascii="Palatino Linotype" w:hAnsi="Palatino Linotype"/>
        </w:rPr>
      </w:pPr>
      <w:r w:rsidRPr="0097161D">
        <w:rPr>
          <w:rStyle w:val="FootnoteReference"/>
          <w:rFonts w:ascii="Palatino Linotype" w:hAnsi="Palatino Linotype"/>
        </w:rPr>
        <w:footnoteRef/>
      </w:r>
      <w:r>
        <w:rPr>
          <w:rFonts w:ascii="Palatino Linotype" w:hAnsi="Palatino Linotype"/>
        </w:rPr>
        <w:t xml:space="preserve"> </w:t>
      </w:r>
      <w:r w:rsidRPr="006B5B24">
        <w:rPr>
          <w:rFonts w:ascii="Palatino Linotype" w:hAnsi="Palatino Linotype"/>
        </w:rPr>
        <w:t xml:space="preserve">For more on frontier spaces and borderlands see </w:t>
      </w:r>
      <w:r w:rsidRPr="006B5B24">
        <w:rPr>
          <w:rFonts w:ascii="Palatino Linotype" w:hAnsi="Palatino Linotype"/>
          <w:lang w:val="en-US"/>
        </w:rPr>
        <w:t xml:space="preserve">De Certeau, </w:t>
      </w:r>
      <w:r w:rsidRPr="006B5B24">
        <w:rPr>
          <w:rFonts w:ascii="Palatino Linotype" w:hAnsi="Palatino Linotype"/>
          <w:i/>
          <w:lang w:val="en-US"/>
        </w:rPr>
        <w:t>The Practice of Everyday Life</w:t>
      </w:r>
      <w:r w:rsidRPr="006B5B24">
        <w:rPr>
          <w:rFonts w:ascii="Palatino Linotype" w:hAnsi="Palatino Linotype"/>
          <w:lang w:val="en-US"/>
        </w:rPr>
        <w:t xml:space="preserve">: 127-129; </w:t>
      </w:r>
      <w:r w:rsidRPr="006B5B24">
        <w:rPr>
          <w:rFonts w:ascii="Palatino Linotype" w:hAnsi="Palatino Linotype"/>
        </w:rPr>
        <w:t xml:space="preserve">Comaroff and Comaroff, </w:t>
      </w:r>
      <w:r w:rsidRPr="006B5B24">
        <w:rPr>
          <w:rFonts w:ascii="Palatino Linotype" w:hAnsi="Palatino Linotype"/>
          <w:i/>
        </w:rPr>
        <w:t>RR: II</w:t>
      </w:r>
      <w:r w:rsidRPr="006B5B24">
        <w:rPr>
          <w:rFonts w:ascii="Palatino Linotype" w:hAnsi="Palatino Linotype"/>
        </w:rPr>
        <w:t xml:space="preserve">: </w:t>
      </w:r>
      <w:r w:rsidRPr="006B5B24">
        <w:rPr>
          <w:rFonts w:ascii="Palatino Linotype" w:hAnsi="Palatino Linotype"/>
          <w:lang w:val="en-US"/>
        </w:rPr>
        <w:t xml:space="preserve">26; Gloria Anzaldúa, </w:t>
      </w:r>
      <w:r w:rsidRPr="006B5B24">
        <w:rPr>
          <w:rFonts w:ascii="Palatino Linotype" w:hAnsi="Palatino Linotype"/>
          <w:i/>
          <w:lang w:val="en-US"/>
        </w:rPr>
        <w:t>Bordlerlands =La Frontera</w:t>
      </w:r>
      <w:r w:rsidRPr="006B5B24">
        <w:rPr>
          <w:rFonts w:ascii="Palatino Linotype" w:hAnsi="Palatino Linotype"/>
          <w:lang w:val="en-US"/>
        </w:rPr>
        <w:t xml:space="preserve"> (Second Edition) (Fransisco: Aunt Lute Books, 1999).</w:t>
      </w:r>
      <w:r>
        <w:rPr>
          <w:rFonts w:ascii="Palatino Linotype" w:hAnsi="Palatino Linotype"/>
          <w:lang w:val="en-US"/>
        </w:rPr>
        <w:t xml:space="preserve"> </w:t>
      </w:r>
      <w:r w:rsidRPr="0097161D">
        <w:rPr>
          <w:rFonts w:ascii="Palatino Linotype" w:hAnsi="Palatino Linotype"/>
        </w:rPr>
        <w:t xml:space="preserve">Compare with Comaroff and Comaroff, </w:t>
      </w:r>
      <w:r>
        <w:rPr>
          <w:rFonts w:ascii="Palatino Linotype" w:hAnsi="Palatino Linotype"/>
          <w:i/>
        </w:rPr>
        <w:t>RR</w:t>
      </w:r>
      <w:r w:rsidRPr="00764650">
        <w:rPr>
          <w:rFonts w:ascii="Palatino Linotype" w:hAnsi="Palatino Linotype"/>
          <w:i/>
        </w:rPr>
        <w:t>: I:</w:t>
      </w:r>
      <w:r w:rsidRPr="0097161D">
        <w:rPr>
          <w:rFonts w:ascii="Palatino Linotype" w:hAnsi="Palatino Linotype"/>
        </w:rPr>
        <w:t xml:space="preserve"> 39.</w:t>
      </w:r>
    </w:p>
  </w:footnote>
  <w:footnote w:id="40">
    <w:p w:rsidR="00A15CD3" w:rsidRPr="0097161D" w:rsidRDefault="00A15CD3" w:rsidP="001761FF">
      <w:pPr>
        <w:pStyle w:val="FootnoteText"/>
        <w:ind w:left="90" w:hanging="90"/>
        <w:jc w:val="both"/>
        <w:rPr>
          <w:rFonts w:ascii="Palatino Linotype" w:hAnsi="Palatino Linotype"/>
        </w:rPr>
      </w:pPr>
      <w:r w:rsidRPr="0097161D">
        <w:rPr>
          <w:rStyle w:val="FootnoteReference"/>
          <w:rFonts w:ascii="Palatino Linotype" w:hAnsi="Palatino Linotype"/>
        </w:rPr>
        <w:footnoteRef/>
      </w:r>
      <w:r w:rsidRPr="0097161D">
        <w:rPr>
          <w:rFonts w:ascii="Palatino Linotype" w:hAnsi="Palatino Linotype"/>
        </w:rPr>
        <w:t xml:space="preserve"> Pierre Bourdieu, ‘Site Effects’, in P. Bourdieu</w:t>
      </w:r>
      <w:r>
        <w:rPr>
          <w:rFonts w:ascii="Palatino Linotype" w:hAnsi="Palatino Linotype"/>
        </w:rPr>
        <w:t>, (ed</w:t>
      </w:r>
      <w:r w:rsidRPr="0097161D">
        <w:rPr>
          <w:rFonts w:ascii="Palatino Linotype" w:hAnsi="Palatino Linotype"/>
        </w:rPr>
        <w:t xml:space="preserve">.), </w:t>
      </w:r>
      <w:r w:rsidRPr="0097161D">
        <w:rPr>
          <w:rFonts w:ascii="Palatino Linotype" w:hAnsi="Palatino Linotype"/>
          <w:i/>
        </w:rPr>
        <w:t>The Weight of the World: Social Suffering in a Contemporary Society</w:t>
      </w:r>
      <w:r>
        <w:rPr>
          <w:rFonts w:ascii="Palatino Linotype" w:hAnsi="Palatino Linotype"/>
        </w:rPr>
        <w:t xml:space="preserve"> (</w:t>
      </w:r>
      <w:r w:rsidRPr="0097161D">
        <w:rPr>
          <w:rFonts w:ascii="Palatino Linotype" w:hAnsi="Palatino Linotype"/>
        </w:rPr>
        <w:t xml:space="preserve">trans. Priscilla Parkhurst Ferguson </w:t>
      </w:r>
      <w:r w:rsidRPr="0097161D">
        <w:rPr>
          <w:rFonts w:ascii="Palatino Linotype" w:hAnsi="Palatino Linotype"/>
          <w:i/>
        </w:rPr>
        <w:t>et al</w:t>
      </w:r>
      <w:r w:rsidRPr="0097161D">
        <w:rPr>
          <w:rFonts w:ascii="Palatino Linotype" w:hAnsi="Palatino Linotype"/>
        </w:rPr>
        <w:t>)</w:t>
      </w:r>
      <w:r>
        <w:rPr>
          <w:rFonts w:ascii="Palatino Linotype" w:hAnsi="Palatino Linotype"/>
        </w:rPr>
        <w:t xml:space="preserve"> (</w:t>
      </w:r>
      <w:r w:rsidRPr="0097161D">
        <w:rPr>
          <w:rFonts w:ascii="Palatino Linotype" w:hAnsi="Palatino Linotype"/>
        </w:rPr>
        <w:t>Cambr</w:t>
      </w:r>
      <w:r>
        <w:rPr>
          <w:rFonts w:ascii="Palatino Linotype" w:hAnsi="Palatino Linotype"/>
        </w:rPr>
        <w:t xml:space="preserve">idge: Polity Press, 1999): 124; </w:t>
      </w:r>
      <w:r w:rsidRPr="006B5B24">
        <w:rPr>
          <w:rFonts w:ascii="Palatino Linotype" w:hAnsi="Palatino Linotype"/>
        </w:rPr>
        <w:t xml:space="preserve">Bourdieu, </w:t>
      </w:r>
      <w:r w:rsidRPr="006B5B24">
        <w:rPr>
          <w:rFonts w:ascii="Palatino Linotype" w:hAnsi="Palatino Linotype"/>
          <w:i/>
        </w:rPr>
        <w:t>Distinction</w:t>
      </w:r>
      <w:r w:rsidRPr="006B5B24">
        <w:rPr>
          <w:rFonts w:ascii="Palatino Linotype" w:hAnsi="Palatino Linotype"/>
        </w:rPr>
        <w:t>: 124.</w:t>
      </w:r>
    </w:p>
  </w:footnote>
  <w:footnote w:id="41">
    <w:p w:rsidR="00A15CD3" w:rsidRPr="0097161D" w:rsidRDefault="00A15CD3" w:rsidP="001761FF">
      <w:pPr>
        <w:pStyle w:val="FootnoteText"/>
        <w:ind w:left="90" w:hanging="90"/>
        <w:jc w:val="both"/>
        <w:rPr>
          <w:rFonts w:ascii="Palatino Linotype" w:hAnsi="Palatino Linotype"/>
        </w:rPr>
      </w:pPr>
      <w:r w:rsidRPr="0097161D">
        <w:rPr>
          <w:rStyle w:val="FootnoteReference"/>
          <w:rFonts w:ascii="Palatino Linotype" w:hAnsi="Palatino Linotype"/>
        </w:rPr>
        <w:footnoteRef/>
      </w:r>
      <w:r w:rsidRPr="0097161D">
        <w:rPr>
          <w:rFonts w:ascii="Palatino Linotype" w:hAnsi="Palatino Linotype"/>
        </w:rPr>
        <w:t xml:space="preserve"> Bourdieu theorised this point </w:t>
      </w:r>
      <w:r>
        <w:rPr>
          <w:rFonts w:ascii="Palatino Linotype" w:hAnsi="Palatino Linotype"/>
        </w:rPr>
        <w:t>in</w:t>
      </w:r>
      <w:r w:rsidRPr="0097161D">
        <w:rPr>
          <w:rFonts w:ascii="Palatino Linotype" w:hAnsi="Palatino Linotype"/>
        </w:rPr>
        <w:t xml:space="preserve"> reference to neo-globalisation</w:t>
      </w:r>
      <w:r>
        <w:rPr>
          <w:rFonts w:ascii="Palatino Linotype" w:hAnsi="Palatino Linotype"/>
        </w:rPr>
        <w:t>, in which he based hi</w:t>
      </w:r>
      <w:r w:rsidRPr="0097161D">
        <w:rPr>
          <w:rFonts w:ascii="Palatino Linotype" w:hAnsi="Palatino Linotype"/>
        </w:rPr>
        <w:t xml:space="preserve">s call for international action to counter new forms of collective domination. Pierre Bourdieu, </w:t>
      </w:r>
      <w:r w:rsidRPr="0097161D">
        <w:rPr>
          <w:rFonts w:ascii="Palatino Linotype" w:hAnsi="Palatino Linotype"/>
          <w:i/>
        </w:rPr>
        <w:t>Acts of Resistance: Against the New Myths of Our Time</w:t>
      </w:r>
      <w:r>
        <w:rPr>
          <w:rFonts w:ascii="Palatino Linotype" w:hAnsi="Palatino Linotype"/>
        </w:rPr>
        <w:t xml:space="preserve"> (</w:t>
      </w:r>
      <w:r w:rsidRPr="0097161D">
        <w:rPr>
          <w:rFonts w:ascii="Palatino Linotype" w:hAnsi="Palatino Linotype"/>
        </w:rPr>
        <w:t>trans. Richard Nice)</w:t>
      </w:r>
      <w:r>
        <w:rPr>
          <w:rFonts w:ascii="Palatino Linotype" w:hAnsi="Palatino Linotype"/>
        </w:rPr>
        <w:t xml:space="preserve"> (</w:t>
      </w:r>
      <w:r w:rsidRPr="0097161D">
        <w:rPr>
          <w:rFonts w:ascii="Palatino Linotype" w:hAnsi="Palatino Linotype"/>
        </w:rPr>
        <w:t>Cambridge: Polity Press, 1998): 17-25, 82-96.</w:t>
      </w:r>
    </w:p>
  </w:footnote>
  <w:footnote w:id="42">
    <w:p w:rsidR="00A15CD3" w:rsidRPr="0097161D" w:rsidRDefault="00A15CD3" w:rsidP="001761FF">
      <w:pPr>
        <w:pStyle w:val="FootnoteText"/>
        <w:ind w:left="90" w:hanging="90"/>
        <w:jc w:val="both"/>
        <w:rPr>
          <w:rFonts w:ascii="Palatino Linotype" w:hAnsi="Palatino Linotype"/>
          <w:lang w:val="en-US"/>
        </w:rPr>
      </w:pPr>
      <w:r w:rsidRPr="0097161D">
        <w:rPr>
          <w:rStyle w:val="FootnoteReference"/>
          <w:rFonts w:ascii="Palatino Linotype" w:hAnsi="Palatino Linotype"/>
        </w:rPr>
        <w:footnoteRef/>
      </w:r>
      <w:r w:rsidRPr="0097161D">
        <w:rPr>
          <w:rFonts w:ascii="Palatino Linotype" w:hAnsi="Palatino Linotype"/>
        </w:rPr>
        <w:t xml:space="preserve"> Bourdieu and Wacquant, </w:t>
      </w:r>
      <w:r w:rsidRPr="0097161D">
        <w:rPr>
          <w:rFonts w:ascii="Palatino Linotype" w:hAnsi="Palatino Linotype"/>
          <w:i/>
        </w:rPr>
        <w:t>An Invitation to Reflexive Sociology</w:t>
      </w:r>
      <w:r w:rsidRPr="0097161D">
        <w:rPr>
          <w:rFonts w:ascii="Palatino Linotype" w:hAnsi="Palatino Linotype"/>
        </w:rPr>
        <w:t>: 17.</w:t>
      </w:r>
    </w:p>
  </w:footnote>
  <w:footnote w:id="43">
    <w:p w:rsidR="00A15CD3" w:rsidRPr="0097161D" w:rsidRDefault="00A15CD3" w:rsidP="001761FF">
      <w:pPr>
        <w:pStyle w:val="FootnoteText"/>
        <w:ind w:left="90" w:hanging="90"/>
        <w:jc w:val="both"/>
        <w:rPr>
          <w:rFonts w:ascii="Palatino Linotype" w:hAnsi="Palatino Linotype"/>
          <w:lang w:val="en-US"/>
        </w:rPr>
      </w:pPr>
      <w:r w:rsidRPr="0097161D">
        <w:rPr>
          <w:rStyle w:val="FootnoteReference"/>
          <w:rFonts w:ascii="Palatino Linotype" w:hAnsi="Palatino Linotype"/>
        </w:rPr>
        <w:footnoteRef/>
      </w:r>
      <w:r w:rsidRPr="0097161D">
        <w:rPr>
          <w:rFonts w:ascii="Palatino Linotype" w:hAnsi="Palatino Linotype"/>
        </w:rPr>
        <w:t xml:space="preserve"> Bourdieu and Wacquant, </w:t>
      </w:r>
      <w:r w:rsidRPr="0097161D">
        <w:rPr>
          <w:rFonts w:ascii="Palatino Linotype" w:hAnsi="Palatino Linotype"/>
          <w:i/>
        </w:rPr>
        <w:t>An Invitation to Reflexive Sociology</w:t>
      </w:r>
      <w:r w:rsidRPr="0097161D">
        <w:rPr>
          <w:rFonts w:ascii="Palatino Linotype" w:hAnsi="Palatino Linotype"/>
        </w:rPr>
        <w:t>: 17.</w:t>
      </w:r>
    </w:p>
  </w:footnote>
  <w:footnote w:id="44">
    <w:p w:rsidR="00A15CD3" w:rsidRPr="0097161D" w:rsidRDefault="00A15CD3" w:rsidP="001761FF">
      <w:pPr>
        <w:pStyle w:val="FootnoteText"/>
        <w:ind w:left="90" w:hanging="90"/>
        <w:jc w:val="both"/>
        <w:rPr>
          <w:rFonts w:ascii="Palatino Linotype" w:hAnsi="Palatino Linotype"/>
        </w:rPr>
      </w:pPr>
      <w:r w:rsidRPr="0097161D">
        <w:rPr>
          <w:rStyle w:val="FootnoteReference"/>
          <w:rFonts w:ascii="Palatino Linotype" w:hAnsi="Palatino Linotype"/>
        </w:rPr>
        <w:footnoteRef/>
      </w:r>
      <w:r w:rsidRPr="0097161D">
        <w:rPr>
          <w:rFonts w:ascii="Palatino Linotype" w:hAnsi="Palatino Linotype"/>
        </w:rPr>
        <w:t xml:space="preserve"> New research on Ottoman port-cities has been fruitful in illuminating the multifarious references of identit</w:t>
      </w:r>
      <w:r>
        <w:rPr>
          <w:rFonts w:ascii="Palatino Linotype" w:hAnsi="Palatino Linotype"/>
        </w:rPr>
        <w:t>y</w:t>
      </w:r>
      <w:r w:rsidRPr="0097161D">
        <w:rPr>
          <w:rFonts w:ascii="Palatino Linotype" w:hAnsi="Palatino Linotype"/>
        </w:rPr>
        <w:t xml:space="preserve">, which </w:t>
      </w:r>
      <w:r>
        <w:rPr>
          <w:rFonts w:ascii="Palatino Linotype" w:hAnsi="Palatino Linotype"/>
        </w:rPr>
        <w:t>challenged the</w:t>
      </w:r>
      <w:r w:rsidRPr="0097161D">
        <w:rPr>
          <w:rFonts w:ascii="Palatino Linotype" w:hAnsi="Palatino Linotype"/>
        </w:rPr>
        <w:t xml:space="preserve"> European</w:t>
      </w:r>
      <w:r>
        <w:rPr>
          <w:rFonts w:ascii="Palatino Linotype" w:hAnsi="Palatino Linotype"/>
        </w:rPr>
        <w:t xml:space="preserve"> based,</w:t>
      </w:r>
      <w:r w:rsidRPr="0097161D">
        <w:rPr>
          <w:rFonts w:ascii="Palatino Linotype" w:hAnsi="Palatino Linotype"/>
        </w:rPr>
        <w:t xml:space="preserve"> metropole-periphery model. Jens Hanssen, Thomas Philipp and Stefan Weber</w:t>
      </w:r>
      <w:r>
        <w:rPr>
          <w:rFonts w:ascii="Palatino Linotype" w:hAnsi="Palatino Linotype"/>
        </w:rPr>
        <w:t>, (ed</w:t>
      </w:r>
      <w:r w:rsidRPr="0097161D">
        <w:rPr>
          <w:rFonts w:ascii="Palatino Linotype" w:hAnsi="Palatino Linotype"/>
        </w:rPr>
        <w:t xml:space="preserve">s.), </w:t>
      </w:r>
      <w:r w:rsidRPr="0097161D">
        <w:rPr>
          <w:rFonts w:ascii="Palatino Linotype" w:hAnsi="Palatino Linotype"/>
          <w:i/>
        </w:rPr>
        <w:t>The Empire and the City: Arab Provincial Capitals in the Late Ottoman Empire</w:t>
      </w:r>
      <w:r>
        <w:rPr>
          <w:rFonts w:ascii="Palatino Linotype" w:hAnsi="Palatino Linotype"/>
        </w:rPr>
        <w:t xml:space="preserve"> (</w:t>
      </w:r>
      <w:r w:rsidRPr="0097161D">
        <w:rPr>
          <w:rFonts w:ascii="Palatino Linotype" w:hAnsi="Palatino Linotype"/>
        </w:rPr>
        <w:t xml:space="preserve">Beirut: </w:t>
      </w:r>
      <w:r w:rsidRPr="0097161D">
        <w:rPr>
          <w:rFonts w:ascii="Palatino Linotype" w:hAnsi="Palatino Linotype"/>
          <w:lang w:val="en-US"/>
        </w:rPr>
        <w:t>Ergon Verlag Würz</w:t>
      </w:r>
      <w:r>
        <w:rPr>
          <w:rFonts w:ascii="Palatino Linotype" w:hAnsi="Palatino Linotype"/>
          <w:lang w:val="en-US"/>
        </w:rPr>
        <w:t>Berg</w:t>
      </w:r>
      <w:r w:rsidRPr="0097161D">
        <w:rPr>
          <w:rFonts w:ascii="Palatino Linotype" w:hAnsi="Palatino Linotype"/>
          <w:lang w:val="en-US"/>
        </w:rPr>
        <w:t xml:space="preserve"> in Kommission, </w:t>
      </w:r>
      <w:r w:rsidRPr="0097161D">
        <w:rPr>
          <w:rFonts w:ascii="Palatino Linotype" w:hAnsi="Palatino Linotype"/>
        </w:rPr>
        <w:t>2002): 1-21. Also see Hall, ‘Cultural Identity and Diaspora’: 227-237.</w:t>
      </w:r>
      <w:r w:rsidRPr="0097161D">
        <w:rPr>
          <w:rFonts w:ascii="Palatino Linotype" w:hAnsi="Palatino Linotype"/>
          <w:sz w:val="24"/>
          <w:szCs w:val="24"/>
        </w:rPr>
        <w:t xml:space="preserve"> </w:t>
      </w:r>
      <w:r w:rsidRPr="0097161D">
        <w:rPr>
          <w:rFonts w:ascii="Palatino Linotype" w:hAnsi="Palatino Linotype"/>
        </w:rPr>
        <w:t xml:space="preserve">Research on ‘diaspora literature’, such as Turkish-German literature, has all been fruitful in recognising the ‘complex relations’ of ‘betweenness’ experienced by both fictional and historical characters. </w:t>
      </w:r>
      <w:r w:rsidRPr="0097161D">
        <w:rPr>
          <w:rFonts w:ascii="Palatino Linotype" w:hAnsi="Palatino Linotype"/>
          <w:lang w:val="en-US"/>
        </w:rPr>
        <w:t xml:space="preserve">Adelson, </w:t>
      </w:r>
      <w:r w:rsidRPr="0097161D">
        <w:rPr>
          <w:rFonts w:ascii="Palatino Linotype" w:hAnsi="Palatino Linotype"/>
          <w:i/>
          <w:lang w:val="en-US"/>
        </w:rPr>
        <w:t>The Turkish Turn in Contemporary German Literature</w:t>
      </w:r>
      <w:r w:rsidRPr="0097161D">
        <w:rPr>
          <w:rFonts w:ascii="Palatino Linotype" w:hAnsi="Palatino Linotype"/>
          <w:lang w:val="en-US"/>
        </w:rPr>
        <w:t>: 3. I thank Frauke Matth</w:t>
      </w:r>
      <w:r>
        <w:rPr>
          <w:rFonts w:ascii="Palatino Linotype" w:hAnsi="Palatino Linotype"/>
          <w:lang w:val="en-US"/>
        </w:rPr>
        <w:t>e</w:t>
      </w:r>
      <w:r w:rsidRPr="0097161D">
        <w:rPr>
          <w:rFonts w:ascii="Palatino Linotype" w:hAnsi="Palatino Linotype"/>
          <w:lang w:val="en-US"/>
        </w:rPr>
        <w:t>s for this reference.</w:t>
      </w:r>
    </w:p>
  </w:footnote>
  <w:footnote w:id="45">
    <w:p w:rsidR="00A15CD3" w:rsidRPr="0097161D" w:rsidRDefault="00A15CD3" w:rsidP="001761FF">
      <w:pPr>
        <w:pStyle w:val="FootnoteText"/>
        <w:ind w:left="90" w:hanging="90"/>
        <w:jc w:val="both"/>
        <w:rPr>
          <w:rFonts w:ascii="Palatino Linotype" w:hAnsi="Palatino Linotype"/>
          <w:lang w:val="en-US"/>
        </w:rPr>
      </w:pPr>
      <w:r w:rsidRPr="0097161D">
        <w:rPr>
          <w:rStyle w:val="FootnoteReference"/>
          <w:rFonts w:ascii="Palatino Linotype" w:hAnsi="Palatino Linotype"/>
        </w:rPr>
        <w:footnoteRef/>
      </w:r>
      <w:r w:rsidRPr="0097161D">
        <w:rPr>
          <w:rFonts w:ascii="Palatino Linotype" w:hAnsi="Palatino Linotype"/>
        </w:rPr>
        <w:t xml:space="preserve"> </w:t>
      </w:r>
      <w:r w:rsidRPr="0097161D">
        <w:rPr>
          <w:rFonts w:ascii="Palatino Linotype" w:hAnsi="Palatino Linotype"/>
          <w:lang w:val="en-US"/>
        </w:rPr>
        <w:t xml:space="preserve">Anzaldúa, </w:t>
      </w:r>
      <w:r w:rsidRPr="0097161D">
        <w:rPr>
          <w:rFonts w:ascii="Palatino Linotype" w:hAnsi="Palatino Linotype"/>
          <w:i/>
          <w:lang w:val="en-US"/>
        </w:rPr>
        <w:t xml:space="preserve">Bordlerlands; </w:t>
      </w:r>
      <w:r w:rsidRPr="0097161D">
        <w:rPr>
          <w:rFonts w:ascii="Palatino Linotype" w:hAnsi="Palatino Linotype"/>
        </w:rPr>
        <w:t>Hall, ‘Cultural Identity’: 222-237</w:t>
      </w:r>
      <w:r>
        <w:rPr>
          <w:rFonts w:ascii="Palatino Linotype" w:hAnsi="Palatino Linotype"/>
        </w:rPr>
        <w:t xml:space="preserve">; Comaroff and Comaroff, </w:t>
      </w:r>
      <w:r w:rsidRPr="00752905">
        <w:rPr>
          <w:rFonts w:ascii="Palatino Linotype" w:hAnsi="Palatino Linotype"/>
          <w:i/>
        </w:rPr>
        <w:t>RR: II:</w:t>
      </w:r>
      <w:r>
        <w:rPr>
          <w:rFonts w:ascii="Palatino Linotype" w:hAnsi="Palatino Linotype"/>
        </w:rPr>
        <w:t xml:space="preserve"> 5; Ortner, </w:t>
      </w:r>
      <w:r w:rsidRPr="00752905">
        <w:rPr>
          <w:rFonts w:ascii="Palatino Linotype" w:hAnsi="Palatino Linotype"/>
          <w:i/>
        </w:rPr>
        <w:t>Making Gender</w:t>
      </w:r>
      <w:r>
        <w:rPr>
          <w:rFonts w:ascii="Palatino Linotype" w:hAnsi="Palatino Linotype"/>
        </w:rPr>
        <w:t>: 19-20.</w:t>
      </w:r>
    </w:p>
  </w:footnote>
  <w:footnote w:id="46">
    <w:p w:rsidR="00A15CD3" w:rsidRPr="0097161D" w:rsidRDefault="00A15CD3" w:rsidP="001761FF">
      <w:pPr>
        <w:pStyle w:val="FootnoteText"/>
        <w:ind w:left="90" w:hanging="90"/>
        <w:jc w:val="both"/>
        <w:rPr>
          <w:rFonts w:ascii="Palatino Linotype" w:hAnsi="Palatino Linotype"/>
        </w:rPr>
      </w:pPr>
      <w:r w:rsidRPr="0097161D">
        <w:rPr>
          <w:rStyle w:val="FootnoteReference"/>
          <w:rFonts w:ascii="Palatino Linotype" w:hAnsi="Palatino Linotype"/>
        </w:rPr>
        <w:footnoteRef/>
      </w:r>
      <w:r w:rsidRPr="0097161D">
        <w:rPr>
          <w:rFonts w:ascii="Palatino Linotype" w:hAnsi="Palatino Linotype"/>
        </w:rPr>
        <w:t xml:space="preserve"> </w:t>
      </w:r>
      <w:r>
        <w:rPr>
          <w:rFonts w:ascii="Palatino Linotype" w:hAnsi="Palatino Linotype"/>
        </w:rPr>
        <w:t xml:space="preserve">Pierre </w:t>
      </w:r>
      <w:r w:rsidRPr="00834266">
        <w:rPr>
          <w:rFonts w:ascii="Palatino Linotype" w:hAnsi="Palatino Linotype"/>
        </w:rPr>
        <w:t xml:space="preserve">Bourdieu, </w:t>
      </w:r>
      <w:r w:rsidRPr="00834266">
        <w:rPr>
          <w:rFonts w:ascii="Palatino Linotype" w:hAnsi="Palatino Linotype"/>
          <w:i/>
        </w:rPr>
        <w:t>In Other Words: Essays Towards a Reflexive Sociology</w:t>
      </w:r>
      <w:r w:rsidRPr="00834266">
        <w:rPr>
          <w:rFonts w:ascii="Palatino Linotype" w:hAnsi="Palatino Linotype"/>
        </w:rPr>
        <w:t xml:space="preserve"> (trans. Matthew Adamson) </w:t>
      </w:r>
      <w:r>
        <w:rPr>
          <w:rFonts w:ascii="Palatino Linotype" w:hAnsi="Palatino Linotype"/>
        </w:rPr>
        <w:t>(</w:t>
      </w:r>
      <w:r w:rsidRPr="00834266">
        <w:rPr>
          <w:rFonts w:ascii="Palatino Linotype" w:hAnsi="Palatino Linotype"/>
        </w:rPr>
        <w:t>Cambridge: Polity Press</w:t>
      </w:r>
      <w:r>
        <w:rPr>
          <w:rFonts w:ascii="Palatino Linotype" w:hAnsi="Palatino Linotype"/>
        </w:rPr>
        <w:t>, 1990):</w:t>
      </w:r>
      <w:r w:rsidRPr="0097161D">
        <w:rPr>
          <w:rFonts w:ascii="Palatino Linotype" w:hAnsi="Palatino Linotype"/>
        </w:rPr>
        <w:t xml:space="preserve"> 13.</w:t>
      </w:r>
      <w:r>
        <w:rPr>
          <w:rFonts w:ascii="Palatino Linotype" w:hAnsi="Palatino Linotype"/>
        </w:rPr>
        <w:t xml:space="preserve"> </w:t>
      </w:r>
      <w:r w:rsidRPr="009C6EF9">
        <w:rPr>
          <w:rFonts w:ascii="Palatino Linotype" w:hAnsi="Palatino Linotype"/>
        </w:rPr>
        <w:t>Bourdieu applies the term ‘habitus’ to describe this active complicity on the ‘non-conscious’ level. Although some scholars have found the habitus to be a useful tool, I am hesitant to apply this concept for it pushes the analysis too far into the psychoanalytic realm</w:t>
      </w:r>
      <w:r>
        <w:rPr>
          <w:rFonts w:ascii="Palatino Linotype" w:hAnsi="Palatino Linotype"/>
        </w:rPr>
        <w:t xml:space="preserve"> of the individual</w:t>
      </w:r>
      <w:r w:rsidRPr="009C6EF9">
        <w:rPr>
          <w:rFonts w:ascii="Palatino Linotype" w:hAnsi="Palatino Linotype"/>
        </w:rPr>
        <w:t xml:space="preserve">, which, like reflexivity, is difficult to gauge through the historical record. Bourdieu, </w:t>
      </w:r>
      <w:r w:rsidRPr="009C6EF9">
        <w:rPr>
          <w:rFonts w:ascii="Palatino Linotype" w:hAnsi="Palatino Linotype"/>
          <w:i/>
        </w:rPr>
        <w:t>In Other Words</w:t>
      </w:r>
      <w:r w:rsidRPr="009C6EF9">
        <w:rPr>
          <w:rFonts w:ascii="Palatino Linotype" w:hAnsi="Palatino Linotype"/>
        </w:rPr>
        <w:t xml:space="preserve">: 11-12; Bourdieu, </w:t>
      </w:r>
      <w:r w:rsidRPr="009C6EF9">
        <w:rPr>
          <w:rFonts w:ascii="Palatino Linotype" w:hAnsi="Palatino Linotype"/>
          <w:i/>
        </w:rPr>
        <w:t>Pascalian Meditations</w:t>
      </w:r>
      <w:r w:rsidRPr="009C6EF9">
        <w:rPr>
          <w:rFonts w:ascii="Palatino Linotype" w:hAnsi="Palatino Linotype"/>
        </w:rPr>
        <w:t xml:space="preserve">: 138, 145; Pierre Bourdieu, </w:t>
      </w:r>
      <w:r w:rsidRPr="009C6EF9">
        <w:rPr>
          <w:rFonts w:ascii="Palatino Linotype" w:hAnsi="Palatino Linotype"/>
          <w:i/>
        </w:rPr>
        <w:t xml:space="preserve">Practical Reason: On the Theory of Action </w:t>
      </w:r>
      <w:r w:rsidRPr="00DE0E59">
        <w:rPr>
          <w:rFonts w:ascii="Palatino Linotype" w:hAnsi="Palatino Linotype"/>
        </w:rPr>
        <w:t>(</w:t>
      </w:r>
      <w:r w:rsidRPr="009C6EF9">
        <w:rPr>
          <w:rFonts w:ascii="Palatino Linotype" w:hAnsi="Palatino Linotype"/>
        </w:rPr>
        <w:t xml:space="preserve">Cambridge: Polity Press, 1998): 56; McNay, ‘Gender, Habitus and the Field’: 95-117; Lois McNay, ‘Agency, Anticipation and Indeterminacy in Feminist Theory’, </w:t>
      </w:r>
      <w:r w:rsidRPr="009C6EF9">
        <w:rPr>
          <w:rFonts w:ascii="Palatino Linotype" w:hAnsi="Palatino Linotype"/>
          <w:i/>
        </w:rPr>
        <w:t xml:space="preserve">Feminist Theory, </w:t>
      </w:r>
      <w:r w:rsidRPr="009C6EF9">
        <w:rPr>
          <w:rFonts w:ascii="Palatino Linotype" w:hAnsi="Palatino Linotype"/>
        </w:rPr>
        <w:t xml:space="preserve">4: 2 (2003): 139-148; Steph Lawler, ‘Rules of Engagement: Habitus, Power and Resistance’, </w:t>
      </w:r>
      <w:r w:rsidRPr="009C6EF9">
        <w:rPr>
          <w:rFonts w:ascii="Palatino Linotype" w:hAnsi="Palatino Linotype"/>
          <w:lang w:val="en-US"/>
        </w:rPr>
        <w:t>in: L. Adkins and B. Skeggs</w:t>
      </w:r>
      <w:r>
        <w:rPr>
          <w:rFonts w:ascii="Palatino Linotype" w:hAnsi="Palatino Linotype"/>
          <w:lang w:val="en-US"/>
        </w:rPr>
        <w:t>, (ed</w:t>
      </w:r>
      <w:r w:rsidRPr="009C6EF9">
        <w:rPr>
          <w:rFonts w:ascii="Palatino Linotype" w:hAnsi="Palatino Linotype"/>
          <w:lang w:val="en-US"/>
        </w:rPr>
        <w:t xml:space="preserve">s.), </w:t>
      </w:r>
      <w:r w:rsidRPr="009C6EF9">
        <w:rPr>
          <w:rFonts w:ascii="Palatino Linotype" w:hAnsi="Palatino Linotype"/>
          <w:i/>
          <w:lang w:val="en-US"/>
        </w:rPr>
        <w:t xml:space="preserve">Feminism After Bourdieu </w:t>
      </w:r>
      <w:r w:rsidRPr="00C72846">
        <w:rPr>
          <w:rFonts w:ascii="Palatino Linotype" w:hAnsi="Palatino Linotype"/>
          <w:lang w:val="en-US"/>
        </w:rPr>
        <w:t>(</w:t>
      </w:r>
      <w:r w:rsidRPr="009C6EF9">
        <w:rPr>
          <w:rFonts w:ascii="Palatino Linotype" w:hAnsi="Palatino Linotype"/>
          <w:lang w:val="en-US"/>
        </w:rPr>
        <w:t>Oxford: Blackwell, 2004): 110-125</w:t>
      </w:r>
    </w:p>
  </w:footnote>
  <w:footnote w:id="47">
    <w:p w:rsidR="00A15CD3" w:rsidRPr="0097161D" w:rsidRDefault="00A15CD3" w:rsidP="001761FF">
      <w:pPr>
        <w:pStyle w:val="FootnoteText"/>
        <w:ind w:left="90" w:hanging="90"/>
        <w:jc w:val="both"/>
        <w:rPr>
          <w:rFonts w:ascii="Palatino Linotype" w:hAnsi="Palatino Linotype"/>
        </w:rPr>
      </w:pPr>
      <w:r w:rsidRPr="0097161D">
        <w:rPr>
          <w:rStyle w:val="FootnoteReference"/>
          <w:rFonts w:ascii="Palatino Linotype" w:hAnsi="Palatino Linotype"/>
        </w:rPr>
        <w:footnoteRef/>
      </w:r>
      <w:r w:rsidRPr="0097161D">
        <w:rPr>
          <w:rFonts w:ascii="Palatino Linotype" w:hAnsi="Palatino Linotype"/>
        </w:rPr>
        <w:t xml:space="preserve"> Th</w:t>
      </w:r>
      <w:r>
        <w:rPr>
          <w:rFonts w:ascii="Palatino Linotype" w:hAnsi="Palatino Linotype"/>
        </w:rPr>
        <w:t>is</w:t>
      </w:r>
      <w:r w:rsidRPr="0097161D">
        <w:rPr>
          <w:rFonts w:ascii="Palatino Linotype" w:hAnsi="Palatino Linotype"/>
        </w:rPr>
        <w:t xml:space="preserve"> flexibility of structuralism draws upon de Certeau’s ‘walking in the city’, where the constraints of </w:t>
      </w:r>
      <w:r>
        <w:rPr>
          <w:rFonts w:ascii="Palatino Linotype" w:hAnsi="Palatino Linotype"/>
        </w:rPr>
        <w:t xml:space="preserve">the </w:t>
      </w:r>
      <w:r w:rsidRPr="0097161D">
        <w:rPr>
          <w:rFonts w:ascii="Palatino Linotype" w:hAnsi="Palatino Linotype"/>
        </w:rPr>
        <w:t>street,</w:t>
      </w:r>
      <w:r>
        <w:rPr>
          <w:rFonts w:ascii="Palatino Linotype" w:hAnsi="Palatino Linotype"/>
        </w:rPr>
        <w:t xml:space="preserve"> such as</w:t>
      </w:r>
      <w:r w:rsidRPr="0097161D">
        <w:rPr>
          <w:rFonts w:ascii="Palatino Linotype" w:hAnsi="Palatino Linotype"/>
        </w:rPr>
        <w:t xml:space="preserve"> buildings and barriers</w:t>
      </w:r>
      <w:r>
        <w:rPr>
          <w:rFonts w:ascii="Palatino Linotype" w:hAnsi="Palatino Linotype"/>
        </w:rPr>
        <w:t>,</w:t>
      </w:r>
      <w:r w:rsidRPr="0097161D">
        <w:rPr>
          <w:rFonts w:ascii="Palatino Linotype" w:hAnsi="Palatino Linotype"/>
        </w:rPr>
        <w:t xml:space="preserve"> are affirmed </w:t>
      </w:r>
      <w:r>
        <w:rPr>
          <w:rFonts w:ascii="Palatino Linotype" w:hAnsi="Palatino Linotype"/>
        </w:rPr>
        <w:t>by</w:t>
      </w:r>
      <w:r w:rsidRPr="0097161D">
        <w:rPr>
          <w:rFonts w:ascii="Palatino Linotype" w:hAnsi="Palatino Linotype"/>
        </w:rPr>
        <w:t xml:space="preserve"> individuals</w:t>
      </w:r>
      <w:r>
        <w:rPr>
          <w:rFonts w:ascii="Palatino Linotype" w:hAnsi="Palatino Linotype"/>
        </w:rPr>
        <w:t xml:space="preserve"> who follow</w:t>
      </w:r>
      <w:r w:rsidRPr="0097161D">
        <w:rPr>
          <w:rFonts w:ascii="Palatino Linotype" w:hAnsi="Palatino Linotype"/>
        </w:rPr>
        <w:t xml:space="preserve"> ‘well-trodden’ paths, </w:t>
      </w:r>
      <w:r>
        <w:rPr>
          <w:rFonts w:ascii="Palatino Linotype" w:hAnsi="Palatino Linotype"/>
        </w:rPr>
        <w:t>although</w:t>
      </w:r>
      <w:r w:rsidRPr="0097161D">
        <w:rPr>
          <w:rFonts w:ascii="Palatino Linotype" w:hAnsi="Palatino Linotype"/>
        </w:rPr>
        <w:t xml:space="preserve"> patterns of walking varies with each</w:t>
      </w:r>
      <w:r>
        <w:rPr>
          <w:rFonts w:ascii="Palatino Linotype" w:hAnsi="Palatino Linotype"/>
        </w:rPr>
        <w:t xml:space="preserve"> person, while </w:t>
      </w:r>
      <w:r w:rsidRPr="0097161D">
        <w:rPr>
          <w:rFonts w:ascii="Palatino Linotype" w:hAnsi="Palatino Linotype"/>
        </w:rPr>
        <w:t xml:space="preserve">some violate this order through jumping over fences or misusing space. De Certeau, </w:t>
      </w:r>
      <w:r w:rsidRPr="0097161D">
        <w:rPr>
          <w:rFonts w:ascii="Palatino Linotype" w:hAnsi="Palatino Linotype"/>
          <w:i/>
        </w:rPr>
        <w:t>The Practice of Everyday Life</w:t>
      </w:r>
      <w:r w:rsidRPr="0097161D">
        <w:rPr>
          <w:rFonts w:ascii="Palatino Linotype" w:hAnsi="Palatino Linotype"/>
        </w:rPr>
        <w:t xml:space="preserve">: 91-130. </w:t>
      </w:r>
    </w:p>
  </w:footnote>
  <w:footnote w:id="48">
    <w:p w:rsidR="00A15CD3" w:rsidRPr="0097161D" w:rsidRDefault="00A15CD3" w:rsidP="001761FF">
      <w:pPr>
        <w:pStyle w:val="FootnoteText"/>
        <w:ind w:left="90" w:hanging="90"/>
        <w:jc w:val="both"/>
        <w:rPr>
          <w:rFonts w:ascii="Palatino Linotype" w:hAnsi="Palatino Linotype"/>
          <w:lang w:val="en-US"/>
        </w:rPr>
      </w:pPr>
      <w:r w:rsidRPr="0097161D">
        <w:rPr>
          <w:rStyle w:val="FootnoteReference"/>
          <w:rFonts w:ascii="Palatino Linotype" w:hAnsi="Palatino Linotype"/>
        </w:rPr>
        <w:footnoteRef/>
      </w:r>
      <w:r w:rsidRPr="0097161D">
        <w:rPr>
          <w:rFonts w:ascii="Palatino Linotype" w:hAnsi="Palatino Linotype"/>
        </w:rPr>
        <w:t xml:space="preserve"> </w:t>
      </w:r>
      <w:r w:rsidRPr="0097161D">
        <w:rPr>
          <w:rFonts w:ascii="Palatino Linotype" w:hAnsi="Palatino Linotype"/>
          <w:lang w:val="en-US"/>
        </w:rPr>
        <w:t xml:space="preserve">Valentine M. Moghadam, ‘Question: How Have Middle East Scholars Contributed to the Broader Field of Gender and Women’s Studies: Pensée 1: States, Gender, and Intersectionality’, </w:t>
      </w:r>
      <w:r>
        <w:rPr>
          <w:rFonts w:ascii="Palatino Linotype" w:hAnsi="Palatino Linotype"/>
          <w:i/>
          <w:lang w:val="en-US"/>
        </w:rPr>
        <w:t>IJMES</w:t>
      </w:r>
      <w:r w:rsidRPr="0097161D">
        <w:rPr>
          <w:rFonts w:ascii="Palatino Linotype" w:hAnsi="Palatino Linotype"/>
          <w:lang w:val="en-US"/>
        </w:rPr>
        <w:t>, 40:1 (2008): 18.</w:t>
      </w:r>
    </w:p>
  </w:footnote>
  <w:footnote w:id="49">
    <w:p w:rsidR="00A15CD3" w:rsidRPr="0097161D" w:rsidRDefault="00A15CD3" w:rsidP="001761FF">
      <w:pPr>
        <w:pStyle w:val="FootnoteText"/>
        <w:ind w:left="90" w:hanging="90"/>
        <w:jc w:val="both"/>
        <w:rPr>
          <w:rFonts w:ascii="Palatino Linotype" w:hAnsi="Palatino Linotype"/>
        </w:rPr>
      </w:pPr>
      <w:r w:rsidRPr="0097161D">
        <w:rPr>
          <w:rStyle w:val="FootnoteReference"/>
          <w:rFonts w:ascii="Palatino Linotype" w:hAnsi="Palatino Linotype"/>
        </w:rPr>
        <w:footnoteRef/>
      </w:r>
      <w:r w:rsidRPr="0097161D">
        <w:rPr>
          <w:rFonts w:ascii="Palatino Linotype" w:hAnsi="Palatino Linotype"/>
        </w:rPr>
        <w:t xml:space="preserve"> Hooker, </w:t>
      </w:r>
      <w:r w:rsidRPr="0097161D">
        <w:rPr>
          <w:rFonts w:ascii="Palatino Linotype" w:hAnsi="Palatino Linotype"/>
          <w:i/>
        </w:rPr>
        <w:t>MSLS</w:t>
      </w:r>
      <w:r w:rsidRPr="0097161D">
        <w:rPr>
          <w:rFonts w:ascii="Palatino Linotype" w:hAnsi="Palatino Linotype"/>
        </w:rPr>
        <w:t>: 51, 220-221.</w:t>
      </w:r>
    </w:p>
  </w:footnote>
  <w:footnote w:id="50">
    <w:p w:rsidR="00A15CD3" w:rsidRPr="0097161D" w:rsidRDefault="00A15CD3" w:rsidP="001761FF">
      <w:pPr>
        <w:pStyle w:val="FootnoteText"/>
        <w:ind w:left="90" w:hanging="90"/>
        <w:jc w:val="both"/>
        <w:rPr>
          <w:rFonts w:ascii="Palatino Linotype" w:hAnsi="Palatino Linotype"/>
        </w:rPr>
      </w:pPr>
      <w:r w:rsidRPr="0097161D">
        <w:rPr>
          <w:rStyle w:val="FootnoteReference"/>
          <w:rFonts w:ascii="Palatino Linotype" w:hAnsi="Palatino Linotype"/>
        </w:rPr>
        <w:footnoteRef/>
      </w:r>
      <w:r w:rsidRPr="0097161D">
        <w:rPr>
          <w:rFonts w:ascii="Palatino Linotype" w:hAnsi="Palatino Linotype"/>
        </w:rPr>
        <w:t xml:space="preserve"> Catherine DeForest, ‘Letter to E. Smith’</w:t>
      </w:r>
      <w:r>
        <w:rPr>
          <w:rFonts w:ascii="Palatino Linotype" w:hAnsi="Palatino Linotype"/>
        </w:rPr>
        <w:t xml:space="preserve"> (</w:t>
      </w:r>
      <w:r w:rsidRPr="0097161D">
        <w:rPr>
          <w:rFonts w:ascii="Palatino Linotype" w:hAnsi="Palatino Linotype"/>
        </w:rPr>
        <w:t xml:space="preserve">Abeih, 30 August [1853]): HHL: </w:t>
      </w:r>
      <w:r>
        <w:rPr>
          <w:rFonts w:ascii="Palatino Linotype" w:hAnsi="Palatino Linotype"/>
        </w:rPr>
        <w:t>ABC 60 (</w:t>
      </w:r>
      <w:r w:rsidRPr="0097161D">
        <w:rPr>
          <w:rFonts w:ascii="Palatino Linotype" w:hAnsi="Palatino Linotype"/>
        </w:rPr>
        <w:t>17</w:t>
      </w:r>
      <w:r>
        <w:rPr>
          <w:rFonts w:ascii="Palatino Linotype" w:hAnsi="Palatino Linotype"/>
        </w:rPr>
        <w:t>)</w:t>
      </w:r>
      <w:r w:rsidRPr="0097161D">
        <w:rPr>
          <w:rFonts w:ascii="Palatino Linotype" w:hAnsi="Palatino Linotype"/>
        </w:rPr>
        <w:t>.</w:t>
      </w:r>
    </w:p>
  </w:footnote>
  <w:footnote w:id="51">
    <w:p w:rsidR="00A15CD3" w:rsidRPr="0097161D" w:rsidRDefault="00A15CD3" w:rsidP="001761FF">
      <w:pPr>
        <w:pStyle w:val="FootnoteText"/>
        <w:ind w:left="90" w:hanging="90"/>
        <w:jc w:val="both"/>
        <w:rPr>
          <w:rFonts w:ascii="Palatino Linotype" w:hAnsi="Palatino Linotype"/>
        </w:rPr>
      </w:pPr>
      <w:r w:rsidRPr="0097161D">
        <w:rPr>
          <w:rStyle w:val="FootnoteReference"/>
          <w:rFonts w:ascii="Palatino Linotype" w:hAnsi="Palatino Linotype"/>
        </w:rPr>
        <w:footnoteRef/>
      </w:r>
      <w:r w:rsidRPr="0097161D">
        <w:rPr>
          <w:rFonts w:ascii="Palatino Linotype" w:hAnsi="Palatino Linotype"/>
        </w:rPr>
        <w:t xml:space="preserve"> Bourdieu, </w:t>
      </w:r>
      <w:r w:rsidRPr="0097161D">
        <w:rPr>
          <w:rFonts w:ascii="Palatino Linotype" w:hAnsi="Palatino Linotype"/>
          <w:i/>
        </w:rPr>
        <w:t>Outline of a Theory of Practice</w:t>
      </w:r>
      <w:r>
        <w:rPr>
          <w:rFonts w:ascii="Palatino Linotype" w:hAnsi="Palatino Linotype"/>
        </w:rPr>
        <w:t xml:space="preserve">: 171-183; </w:t>
      </w:r>
      <w:r w:rsidRPr="005E2167">
        <w:rPr>
          <w:rFonts w:ascii="Palatino Linotype" w:hAnsi="Palatino Linotype"/>
        </w:rPr>
        <w:t xml:space="preserve">Bourdieu, </w:t>
      </w:r>
      <w:r w:rsidRPr="005E2167">
        <w:rPr>
          <w:rFonts w:ascii="Palatino Linotype" w:hAnsi="Palatino Linotype"/>
          <w:i/>
        </w:rPr>
        <w:t>In Other Words</w:t>
      </w:r>
      <w:r w:rsidRPr="005E2167">
        <w:rPr>
          <w:rFonts w:ascii="Palatino Linotype" w:hAnsi="Palatino Linotype"/>
        </w:rPr>
        <w:t xml:space="preserve">: 75, 186-188; Bourdieu, </w:t>
      </w:r>
      <w:r w:rsidRPr="005E2167">
        <w:rPr>
          <w:rFonts w:ascii="Palatino Linotype" w:hAnsi="Palatino Linotype"/>
          <w:i/>
        </w:rPr>
        <w:t>Practical Reason</w:t>
      </w:r>
      <w:r w:rsidRPr="005E2167">
        <w:rPr>
          <w:rFonts w:ascii="Palatino Linotype" w:hAnsi="Palatino Linotype"/>
        </w:rPr>
        <w:t>: 2.</w:t>
      </w:r>
    </w:p>
  </w:footnote>
  <w:footnote w:id="52">
    <w:p w:rsidR="00A15CD3" w:rsidRPr="0097161D" w:rsidRDefault="00A15CD3" w:rsidP="001761FF">
      <w:pPr>
        <w:pStyle w:val="FootnoteText"/>
        <w:ind w:left="90" w:hanging="90"/>
        <w:jc w:val="both"/>
        <w:rPr>
          <w:rFonts w:ascii="Palatino Linotype" w:hAnsi="Palatino Linotype"/>
        </w:rPr>
      </w:pPr>
      <w:r w:rsidRPr="0097161D">
        <w:rPr>
          <w:rStyle w:val="FootnoteReference"/>
          <w:rFonts w:ascii="Palatino Linotype" w:hAnsi="Palatino Linotype"/>
        </w:rPr>
        <w:footnoteRef/>
      </w:r>
      <w:r w:rsidRPr="0097161D">
        <w:rPr>
          <w:rFonts w:ascii="Palatino Linotype" w:hAnsi="Palatino Linotype"/>
        </w:rPr>
        <w:t xml:space="preserve"> Bourdieu, </w:t>
      </w:r>
      <w:r w:rsidRPr="0097161D">
        <w:rPr>
          <w:rFonts w:ascii="Palatino Linotype" w:hAnsi="Palatino Linotype"/>
          <w:i/>
        </w:rPr>
        <w:t>Outline of a Theory of Practice</w:t>
      </w:r>
      <w:r w:rsidRPr="0097161D">
        <w:rPr>
          <w:rFonts w:ascii="Palatino Linotype" w:hAnsi="Palatino Linotype"/>
        </w:rPr>
        <w:t xml:space="preserve">: 184-185; Bourdieu, </w:t>
      </w:r>
      <w:r w:rsidRPr="0097161D">
        <w:rPr>
          <w:rFonts w:ascii="Palatino Linotype" w:hAnsi="Palatino Linotype"/>
          <w:i/>
        </w:rPr>
        <w:t>The Field of Cultural Production</w:t>
      </w:r>
      <w:r w:rsidRPr="0097161D">
        <w:rPr>
          <w:rFonts w:ascii="Palatino Linotype" w:hAnsi="Palatino Linotype"/>
        </w:rPr>
        <w:t>: 106-111.</w:t>
      </w:r>
    </w:p>
  </w:footnote>
  <w:footnote w:id="53">
    <w:p w:rsidR="00A15CD3" w:rsidRPr="0097161D" w:rsidRDefault="00A15CD3" w:rsidP="001761FF">
      <w:pPr>
        <w:pStyle w:val="FootnoteText"/>
        <w:ind w:left="90" w:hanging="90"/>
        <w:jc w:val="both"/>
        <w:rPr>
          <w:rFonts w:ascii="Palatino Linotype" w:hAnsi="Palatino Linotype"/>
          <w:lang w:val="en-US"/>
        </w:rPr>
      </w:pPr>
      <w:r w:rsidRPr="0097161D">
        <w:rPr>
          <w:rStyle w:val="FootnoteReference"/>
          <w:rFonts w:ascii="Palatino Linotype" w:hAnsi="Palatino Linotype"/>
        </w:rPr>
        <w:footnoteRef/>
      </w:r>
      <w:r w:rsidRPr="0097161D">
        <w:rPr>
          <w:rFonts w:ascii="Palatino Linotype" w:hAnsi="Palatino Linotype"/>
        </w:rPr>
        <w:t xml:space="preserve"> Bourdieu, </w:t>
      </w:r>
      <w:r w:rsidRPr="0097161D">
        <w:rPr>
          <w:rFonts w:ascii="Palatino Linotype" w:hAnsi="Palatino Linotype"/>
          <w:i/>
        </w:rPr>
        <w:t>Distinction</w:t>
      </w:r>
      <w:r w:rsidRPr="0097161D">
        <w:rPr>
          <w:rFonts w:ascii="Palatino Linotype" w:hAnsi="Palatino Linotype"/>
        </w:rPr>
        <w:t>: 1.</w:t>
      </w:r>
    </w:p>
  </w:footnote>
  <w:footnote w:id="54">
    <w:p w:rsidR="00A15CD3" w:rsidRPr="0097161D" w:rsidRDefault="00A15CD3" w:rsidP="001761FF">
      <w:pPr>
        <w:pStyle w:val="FootnoteText"/>
        <w:ind w:left="90" w:hanging="90"/>
        <w:jc w:val="both"/>
        <w:rPr>
          <w:rFonts w:ascii="Palatino Linotype" w:hAnsi="Palatino Linotype"/>
          <w:lang w:val="en-US"/>
        </w:rPr>
      </w:pPr>
      <w:r w:rsidRPr="0097161D">
        <w:rPr>
          <w:rStyle w:val="FootnoteReference"/>
          <w:rFonts w:ascii="Palatino Linotype" w:hAnsi="Palatino Linotype"/>
        </w:rPr>
        <w:footnoteRef/>
      </w:r>
      <w:r w:rsidRPr="0097161D">
        <w:rPr>
          <w:rFonts w:ascii="Palatino Linotype" w:hAnsi="Palatino Linotype"/>
        </w:rPr>
        <w:t xml:space="preserve"> Bourdieu, </w:t>
      </w:r>
      <w:r w:rsidRPr="0097161D">
        <w:rPr>
          <w:rFonts w:ascii="Palatino Linotype" w:hAnsi="Palatino Linotype"/>
          <w:i/>
        </w:rPr>
        <w:t>The Field of Cultural Production</w:t>
      </w:r>
      <w:r w:rsidRPr="0097161D">
        <w:rPr>
          <w:rFonts w:ascii="Palatino Linotype" w:hAnsi="Palatino Linotype"/>
        </w:rPr>
        <w:t>: 120-125.</w:t>
      </w:r>
      <w:r>
        <w:rPr>
          <w:rFonts w:ascii="Palatino Linotype" w:hAnsi="Palatino Linotype"/>
        </w:rPr>
        <w:t xml:space="preserve"> Bourdieu regards this to be a form of ‘</w:t>
      </w:r>
      <w:r w:rsidRPr="00D63C4E">
        <w:rPr>
          <w:rFonts w:ascii="Palatino Linotype" w:hAnsi="Palatino Linotype"/>
        </w:rPr>
        <w:t>symbolic violence</w:t>
      </w:r>
      <w:r>
        <w:rPr>
          <w:rFonts w:ascii="Palatino Linotype" w:hAnsi="Palatino Linotype"/>
        </w:rPr>
        <w:t xml:space="preserve">’. </w:t>
      </w:r>
      <w:r w:rsidRPr="00D63C4E">
        <w:rPr>
          <w:rFonts w:ascii="Palatino Linotype" w:hAnsi="Palatino Linotype"/>
        </w:rPr>
        <w:t xml:space="preserve">Pierre Bourdieu, </w:t>
      </w:r>
      <w:r w:rsidRPr="00D63C4E">
        <w:rPr>
          <w:rFonts w:ascii="Palatino Linotype" w:hAnsi="Palatino Linotype"/>
          <w:i/>
        </w:rPr>
        <w:t xml:space="preserve">Masculine Domination </w:t>
      </w:r>
      <w:r w:rsidRPr="00372DE7">
        <w:rPr>
          <w:rFonts w:ascii="Palatino Linotype" w:hAnsi="Palatino Linotype"/>
        </w:rPr>
        <w:t>(trans</w:t>
      </w:r>
      <w:r w:rsidRPr="00D63C4E">
        <w:rPr>
          <w:rFonts w:ascii="Palatino Linotype" w:hAnsi="Palatino Linotype"/>
        </w:rPr>
        <w:t>. Richard Nice) (Cambridge: Polity Press, 2001): 42.</w:t>
      </w:r>
    </w:p>
  </w:footnote>
  <w:footnote w:id="55">
    <w:p w:rsidR="00A15CD3" w:rsidRPr="0097161D" w:rsidRDefault="00A15CD3" w:rsidP="001761FF">
      <w:pPr>
        <w:pStyle w:val="FootnoteText"/>
        <w:ind w:left="90" w:hanging="90"/>
        <w:jc w:val="both"/>
        <w:rPr>
          <w:rFonts w:ascii="Palatino Linotype" w:hAnsi="Palatino Linotype"/>
          <w:lang w:val="en-US"/>
        </w:rPr>
      </w:pPr>
      <w:r w:rsidRPr="0097161D">
        <w:rPr>
          <w:rStyle w:val="FootnoteReference"/>
          <w:rFonts w:ascii="Palatino Linotype" w:hAnsi="Palatino Linotype"/>
        </w:rPr>
        <w:footnoteRef/>
      </w:r>
      <w:r>
        <w:rPr>
          <w:rFonts w:ascii="Palatino Linotype" w:hAnsi="Palatino Linotype"/>
        </w:rPr>
        <w:t xml:space="preserve"> </w:t>
      </w:r>
      <w:r w:rsidRPr="0097161D">
        <w:rPr>
          <w:rFonts w:ascii="Palatino Linotype" w:hAnsi="Palatino Linotype"/>
        </w:rPr>
        <w:t xml:space="preserve">Bourdieu, </w:t>
      </w:r>
      <w:r w:rsidRPr="0097161D">
        <w:rPr>
          <w:rFonts w:ascii="Palatino Linotype" w:hAnsi="Palatino Linotype"/>
          <w:i/>
        </w:rPr>
        <w:t>Outline of a Theory of Practice</w:t>
      </w:r>
      <w:r w:rsidRPr="0097161D">
        <w:rPr>
          <w:rFonts w:ascii="Palatino Linotype" w:hAnsi="Palatino Linotype"/>
        </w:rPr>
        <w:t>: 88-90, 219 note 4.</w:t>
      </w:r>
    </w:p>
  </w:footnote>
  <w:footnote w:id="56">
    <w:p w:rsidR="00A15CD3" w:rsidRPr="0097161D" w:rsidRDefault="00A15CD3" w:rsidP="001761FF">
      <w:pPr>
        <w:pStyle w:val="FootnoteText"/>
        <w:ind w:left="90" w:hanging="90"/>
        <w:jc w:val="both"/>
        <w:rPr>
          <w:rFonts w:ascii="Palatino Linotype" w:hAnsi="Palatino Linotype"/>
        </w:rPr>
      </w:pPr>
      <w:r w:rsidRPr="0097161D">
        <w:rPr>
          <w:rStyle w:val="FootnoteReference"/>
          <w:rFonts w:ascii="Palatino Linotype" w:hAnsi="Palatino Linotype"/>
        </w:rPr>
        <w:footnoteRef/>
      </w:r>
      <w:r w:rsidRPr="0097161D">
        <w:rPr>
          <w:rFonts w:ascii="Palatino Linotype" w:hAnsi="Palatino Linotype"/>
        </w:rPr>
        <w:t xml:space="preserve"> Nan Lin, </w:t>
      </w:r>
      <w:r w:rsidRPr="0097161D">
        <w:rPr>
          <w:rFonts w:ascii="Palatino Linotype" w:hAnsi="Palatino Linotype"/>
          <w:i/>
        </w:rPr>
        <w:t>Social Capital: A Theory of Social Structure and Action</w:t>
      </w:r>
      <w:r>
        <w:rPr>
          <w:rFonts w:ascii="Palatino Linotype" w:hAnsi="Palatino Linotype"/>
          <w:i/>
        </w:rPr>
        <w:t xml:space="preserve"> </w:t>
      </w:r>
      <w:r w:rsidRPr="00214962">
        <w:rPr>
          <w:rFonts w:ascii="Palatino Linotype" w:hAnsi="Palatino Linotype"/>
        </w:rPr>
        <w:t>(</w:t>
      </w:r>
      <w:r w:rsidRPr="0097161D">
        <w:rPr>
          <w:rFonts w:ascii="Palatino Linotype" w:hAnsi="Palatino Linotype"/>
        </w:rPr>
        <w:t>Cambridge: Cambridge University Press, 2001): 25.</w:t>
      </w:r>
    </w:p>
  </w:footnote>
  <w:footnote w:id="57">
    <w:p w:rsidR="00A15CD3" w:rsidRPr="0097161D" w:rsidRDefault="00A15CD3" w:rsidP="001761FF">
      <w:pPr>
        <w:pStyle w:val="FootnoteText"/>
        <w:ind w:left="90" w:hanging="90"/>
        <w:jc w:val="both"/>
        <w:rPr>
          <w:rFonts w:ascii="Palatino Linotype" w:hAnsi="Palatino Linotype"/>
        </w:rPr>
      </w:pPr>
      <w:r w:rsidRPr="0097161D">
        <w:rPr>
          <w:rStyle w:val="FootnoteReference"/>
          <w:rFonts w:ascii="Palatino Linotype" w:hAnsi="Palatino Linotype"/>
        </w:rPr>
        <w:footnoteRef/>
      </w:r>
      <w:r w:rsidRPr="0097161D">
        <w:rPr>
          <w:rFonts w:ascii="Palatino Linotype" w:hAnsi="Palatino Linotype"/>
        </w:rPr>
        <w:t xml:space="preserve"> Bourdieu, </w:t>
      </w:r>
      <w:r w:rsidRPr="0097161D">
        <w:rPr>
          <w:rFonts w:ascii="Palatino Linotype" w:hAnsi="Palatino Linotype"/>
          <w:i/>
        </w:rPr>
        <w:t>The Field of Cultural Production</w:t>
      </w:r>
      <w:r w:rsidRPr="0097161D">
        <w:rPr>
          <w:rFonts w:ascii="Palatino Linotype" w:hAnsi="Palatino Linotype"/>
        </w:rPr>
        <w:t xml:space="preserve">: 233; Bourdieu, </w:t>
      </w:r>
      <w:r w:rsidRPr="0097161D">
        <w:rPr>
          <w:rFonts w:ascii="Palatino Linotype" w:hAnsi="Palatino Linotype"/>
          <w:i/>
        </w:rPr>
        <w:t>Outline of a Theory of Practice</w:t>
      </w:r>
      <w:r w:rsidRPr="0097161D">
        <w:rPr>
          <w:rFonts w:ascii="Palatino Linotype" w:hAnsi="Palatino Linotype"/>
        </w:rPr>
        <w:t xml:space="preserve">: 187-189, 4-8; Bourdieu, </w:t>
      </w:r>
      <w:r w:rsidRPr="0097161D">
        <w:rPr>
          <w:rFonts w:ascii="Palatino Linotype" w:hAnsi="Palatino Linotype"/>
          <w:i/>
        </w:rPr>
        <w:t>The Field of Cultural Production</w:t>
      </w:r>
      <w:r w:rsidRPr="0097161D">
        <w:rPr>
          <w:rFonts w:ascii="Palatino Linotype" w:hAnsi="Palatino Linotype"/>
        </w:rPr>
        <w:t>: 135-136.</w:t>
      </w:r>
    </w:p>
  </w:footnote>
  <w:footnote w:id="58">
    <w:p w:rsidR="00A15CD3" w:rsidRPr="0097161D" w:rsidRDefault="00A15CD3" w:rsidP="001761FF">
      <w:pPr>
        <w:pStyle w:val="FootnoteText"/>
        <w:ind w:left="90" w:hanging="90"/>
        <w:jc w:val="both"/>
        <w:rPr>
          <w:rFonts w:ascii="Palatino Linotype" w:hAnsi="Palatino Linotype"/>
        </w:rPr>
      </w:pPr>
      <w:r w:rsidRPr="0097161D">
        <w:rPr>
          <w:rStyle w:val="FootnoteReference"/>
          <w:rFonts w:ascii="Palatino Linotype" w:hAnsi="Palatino Linotype"/>
        </w:rPr>
        <w:footnoteRef/>
      </w:r>
      <w:r w:rsidRPr="0097161D">
        <w:rPr>
          <w:rFonts w:ascii="Palatino Linotype" w:hAnsi="Palatino Linotype"/>
        </w:rPr>
        <w:t xml:space="preserve"> These include Tracey, ‘HABCFM’; Anderson, </w:t>
      </w:r>
      <w:r w:rsidRPr="0097161D">
        <w:rPr>
          <w:rFonts w:ascii="Palatino Linotype" w:hAnsi="Palatino Linotype"/>
          <w:i/>
        </w:rPr>
        <w:t>HM</w:t>
      </w:r>
      <w:r w:rsidRPr="0097161D">
        <w:rPr>
          <w:rFonts w:ascii="Palatino Linotype" w:hAnsi="Palatino Linotype"/>
          <w:sz w:val="24"/>
          <w:szCs w:val="24"/>
        </w:rPr>
        <w:t xml:space="preserve"> </w:t>
      </w:r>
      <w:r w:rsidRPr="0097161D">
        <w:rPr>
          <w:rFonts w:ascii="Palatino Linotype" w:hAnsi="Palatino Linotype"/>
        </w:rPr>
        <w:t xml:space="preserve">Anderson, MV. An invaluable resource for the biographical data of the missionaries was John Adams Vinton, </w:t>
      </w:r>
      <w:r w:rsidRPr="0097161D">
        <w:rPr>
          <w:rFonts w:ascii="Palatino Linotype" w:hAnsi="Palatino Linotype"/>
          <w:i/>
          <w:iCs/>
          <w:lang w:val="en-US"/>
        </w:rPr>
        <w:t>A Biographical Dictionary of ABCFM Missionaries and Assistant Missionaries</w:t>
      </w:r>
      <w:r w:rsidRPr="0097161D">
        <w:rPr>
          <w:rFonts w:ascii="Palatino Linotype" w:hAnsi="Palatino Linotype"/>
          <w:lang w:val="en-US"/>
        </w:rPr>
        <w:t xml:space="preserve">: </w:t>
      </w:r>
      <w:r w:rsidRPr="0097161D">
        <w:rPr>
          <w:rFonts w:ascii="Palatino Linotype" w:hAnsi="Palatino Linotype"/>
          <w:i/>
          <w:lang w:val="en-US"/>
        </w:rPr>
        <w:t>Volume I</w:t>
      </w:r>
      <w:r>
        <w:rPr>
          <w:rFonts w:ascii="Palatino Linotype" w:hAnsi="Palatino Linotype"/>
          <w:i/>
          <w:lang w:val="en-US"/>
        </w:rPr>
        <w:t xml:space="preserve"> </w:t>
      </w:r>
      <w:r w:rsidRPr="00E12441">
        <w:rPr>
          <w:rFonts w:ascii="Palatino Linotype" w:hAnsi="Palatino Linotype"/>
          <w:lang w:val="en-US"/>
        </w:rPr>
        <w:t>(</w:t>
      </w:r>
      <w:r w:rsidRPr="0097161D">
        <w:rPr>
          <w:rFonts w:ascii="Palatino Linotype" w:hAnsi="Palatino Linotype"/>
          <w:lang w:val="en-US"/>
        </w:rPr>
        <w:t>n.s.: n.s., 1869): HHL: ABC 9. 5. 3.</w:t>
      </w:r>
    </w:p>
  </w:footnote>
  <w:footnote w:id="59">
    <w:p w:rsidR="00A15CD3" w:rsidRPr="0097161D" w:rsidRDefault="00A15CD3" w:rsidP="001761FF">
      <w:pPr>
        <w:pStyle w:val="FootnoteText"/>
        <w:ind w:left="90" w:hanging="90"/>
        <w:jc w:val="both"/>
        <w:rPr>
          <w:rFonts w:ascii="Palatino Linotype" w:hAnsi="Palatino Linotype"/>
        </w:rPr>
      </w:pPr>
      <w:r w:rsidRPr="0097161D">
        <w:rPr>
          <w:rStyle w:val="FootnoteReference"/>
          <w:rFonts w:ascii="Palatino Linotype" w:hAnsi="Palatino Linotype"/>
        </w:rPr>
        <w:footnoteRef/>
      </w:r>
      <w:r w:rsidRPr="0097161D">
        <w:rPr>
          <w:rFonts w:ascii="Palatino Linotype" w:hAnsi="Palatino Linotype"/>
        </w:rPr>
        <w:t xml:space="preserve"> Henry Harris Jessup, </w:t>
      </w:r>
      <w:r w:rsidRPr="0097161D">
        <w:rPr>
          <w:rFonts w:ascii="Palatino Linotype" w:hAnsi="Palatino Linotype"/>
          <w:i/>
        </w:rPr>
        <w:t xml:space="preserve">Fifty-Three Years in Syria, </w:t>
      </w:r>
      <w:r w:rsidRPr="0097161D">
        <w:rPr>
          <w:rFonts w:ascii="Palatino Linotype" w:hAnsi="Palatino Linotype"/>
        </w:rPr>
        <w:t>[1910]</w:t>
      </w:r>
      <w:r>
        <w:rPr>
          <w:rFonts w:ascii="Palatino Linotype" w:hAnsi="Palatino Linotype"/>
        </w:rPr>
        <w:t xml:space="preserve"> (</w:t>
      </w:r>
      <w:r w:rsidRPr="0097161D">
        <w:rPr>
          <w:rFonts w:ascii="Palatino Linotype" w:hAnsi="Palatino Linotype"/>
        </w:rPr>
        <w:t xml:space="preserve">London: Garnet Publishing, 2002); Jessup, </w:t>
      </w:r>
      <w:r w:rsidRPr="0097161D">
        <w:rPr>
          <w:rFonts w:ascii="Palatino Linotype" w:hAnsi="Palatino Linotype"/>
          <w:i/>
        </w:rPr>
        <w:t>WA</w:t>
      </w:r>
      <w:r w:rsidRPr="0097161D">
        <w:rPr>
          <w:rFonts w:ascii="Palatino Linotype" w:hAnsi="Palatino Linotype"/>
        </w:rPr>
        <w:t xml:space="preserve">; Thomson, </w:t>
      </w:r>
      <w:r w:rsidRPr="0097161D">
        <w:rPr>
          <w:rFonts w:ascii="Palatino Linotype" w:hAnsi="Palatino Linotype"/>
          <w:i/>
        </w:rPr>
        <w:t xml:space="preserve">LB; </w:t>
      </w:r>
      <w:r w:rsidRPr="0097161D">
        <w:rPr>
          <w:rFonts w:ascii="Palatino Linotype" w:hAnsi="Palatino Linotype"/>
        </w:rPr>
        <w:t xml:space="preserve">Robinson and Smith, </w:t>
      </w:r>
      <w:r w:rsidRPr="0097161D">
        <w:rPr>
          <w:rFonts w:ascii="Palatino Linotype" w:hAnsi="Palatino Linotype"/>
          <w:i/>
        </w:rPr>
        <w:t>BR</w:t>
      </w:r>
      <w:r w:rsidRPr="0097161D">
        <w:rPr>
          <w:rFonts w:ascii="Palatino Linotype" w:hAnsi="Palatino Linotype"/>
        </w:rPr>
        <w:t xml:space="preserve">; Eli Smith and H.G.O. Dwight, </w:t>
      </w:r>
      <w:r w:rsidRPr="0097161D">
        <w:rPr>
          <w:rFonts w:ascii="Palatino Linotype" w:hAnsi="Palatino Linotype"/>
          <w:i/>
        </w:rPr>
        <w:t>Missionary Researches in Armenia: Including a Journey Through Asia Minor, and into Georgia and Persia, with a Visit to the Nestorian and Chaldean Christians of O</w:t>
      </w:r>
      <w:r>
        <w:rPr>
          <w:rFonts w:ascii="Palatino Linotype" w:hAnsi="Palatino Linotype"/>
          <w:i/>
        </w:rPr>
        <w:t>o</w:t>
      </w:r>
      <w:r w:rsidRPr="0097161D">
        <w:rPr>
          <w:rFonts w:ascii="Palatino Linotype" w:hAnsi="Palatino Linotype"/>
          <w:i/>
        </w:rPr>
        <w:t>rmiah and Salmas</w:t>
      </w:r>
      <w:r>
        <w:rPr>
          <w:rFonts w:ascii="Palatino Linotype" w:hAnsi="Palatino Linotype"/>
          <w:i/>
        </w:rPr>
        <w:t xml:space="preserve"> </w:t>
      </w:r>
      <w:r w:rsidRPr="00E12441">
        <w:rPr>
          <w:rFonts w:ascii="Palatino Linotype" w:hAnsi="Palatino Linotype"/>
        </w:rPr>
        <w:t>(</w:t>
      </w:r>
      <w:r w:rsidRPr="0097161D">
        <w:rPr>
          <w:rFonts w:ascii="Palatino Linotype" w:hAnsi="Palatino Linotype"/>
        </w:rPr>
        <w:t>London: George Wightman, Paternoster Row, 1834).</w:t>
      </w:r>
    </w:p>
  </w:footnote>
  <w:footnote w:id="60">
    <w:p w:rsidR="00A15CD3" w:rsidRPr="0097161D" w:rsidRDefault="00A15CD3" w:rsidP="001761FF">
      <w:pPr>
        <w:pStyle w:val="FootnoteText"/>
        <w:ind w:left="90" w:hanging="90"/>
        <w:jc w:val="both"/>
        <w:rPr>
          <w:rFonts w:ascii="Palatino Linotype" w:hAnsi="Palatino Linotype"/>
        </w:rPr>
      </w:pPr>
      <w:r w:rsidRPr="0097161D">
        <w:rPr>
          <w:rStyle w:val="FootnoteReference"/>
          <w:rFonts w:ascii="Palatino Linotype" w:hAnsi="Palatino Linotype"/>
        </w:rPr>
        <w:footnoteRef/>
      </w:r>
      <w:r w:rsidRPr="0097161D">
        <w:rPr>
          <w:rFonts w:ascii="Palatino Linotype" w:hAnsi="Palatino Linotype"/>
        </w:rPr>
        <w:t xml:space="preserve"> Alvan Bond, </w:t>
      </w:r>
      <w:r w:rsidRPr="0097161D">
        <w:rPr>
          <w:rFonts w:ascii="Palatino Linotype" w:hAnsi="Palatino Linotype"/>
          <w:i/>
        </w:rPr>
        <w:t>Memoir of the Rev. Pliny Fisk, A.M.: Late Missionary to Palestine</w:t>
      </w:r>
      <w:r w:rsidRPr="0097161D">
        <w:rPr>
          <w:rFonts w:ascii="Palatino Linotype" w:hAnsi="Palatino Linotype"/>
        </w:rPr>
        <w:t xml:space="preserve"> [1828]</w:t>
      </w:r>
      <w:r>
        <w:rPr>
          <w:rFonts w:ascii="Palatino Linotype" w:hAnsi="Palatino Linotype"/>
        </w:rPr>
        <w:t xml:space="preserve"> (</w:t>
      </w:r>
      <w:r w:rsidRPr="0097161D">
        <w:rPr>
          <w:rFonts w:ascii="Palatino Linotype" w:hAnsi="Palatino Linotype"/>
        </w:rPr>
        <w:t xml:space="preserve">New York: Arno Press 1977); Hooker, </w:t>
      </w:r>
      <w:r w:rsidRPr="0097161D">
        <w:rPr>
          <w:rFonts w:ascii="Palatino Linotype" w:hAnsi="Palatino Linotype"/>
          <w:i/>
        </w:rPr>
        <w:t>MSLS</w:t>
      </w:r>
      <w:r w:rsidRPr="0097161D">
        <w:rPr>
          <w:rFonts w:ascii="Palatino Linotype" w:hAnsi="Palatino Linotype"/>
        </w:rPr>
        <w:t xml:space="preserve">; Edward Dorr Griffin Prime, </w:t>
      </w:r>
      <w:r w:rsidRPr="0097161D">
        <w:rPr>
          <w:rFonts w:ascii="Palatino Linotype" w:hAnsi="Palatino Linotype"/>
          <w:i/>
        </w:rPr>
        <w:t>Forty Years in the Turkish Empire. Or, Memoirs of Rev. William Goodell, D.D.</w:t>
      </w:r>
      <w:r>
        <w:rPr>
          <w:rFonts w:ascii="Palatino Linotype" w:hAnsi="Palatino Linotype"/>
        </w:rPr>
        <w:t xml:space="preserve"> (</w:t>
      </w:r>
      <w:r w:rsidRPr="0097161D">
        <w:rPr>
          <w:rFonts w:ascii="Palatino Linotype" w:hAnsi="Palatino Linotype"/>
        </w:rPr>
        <w:t xml:space="preserve">New York: Robert Carter and Brothers, 1876).  </w:t>
      </w:r>
    </w:p>
  </w:footnote>
  <w:footnote w:id="61">
    <w:p w:rsidR="00A15CD3" w:rsidRPr="0097161D" w:rsidRDefault="00A15CD3" w:rsidP="001761FF">
      <w:pPr>
        <w:pStyle w:val="FootnoteText"/>
        <w:ind w:left="90" w:hanging="90"/>
        <w:jc w:val="both"/>
        <w:rPr>
          <w:rFonts w:ascii="Palatino Linotype" w:hAnsi="Palatino Linotype"/>
        </w:rPr>
      </w:pPr>
      <w:r w:rsidRPr="0097161D">
        <w:rPr>
          <w:rStyle w:val="FootnoteReference"/>
          <w:rFonts w:ascii="Palatino Linotype" w:hAnsi="Palatino Linotype"/>
        </w:rPr>
        <w:footnoteRef/>
      </w:r>
      <w:r w:rsidRPr="0097161D">
        <w:rPr>
          <w:rFonts w:ascii="Palatino Linotype" w:hAnsi="Palatino Linotype"/>
        </w:rPr>
        <w:t xml:space="preserve"> Eli Smith and Joseph Tracey </w:t>
      </w:r>
      <w:r>
        <w:rPr>
          <w:rFonts w:ascii="Palatino Linotype" w:hAnsi="Palatino Linotype"/>
        </w:rPr>
        <w:t>served as</w:t>
      </w:r>
      <w:r w:rsidRPr="0097161D">
        <w:rPr>
          <w:rFonts w:ascii="Palatino Linotype" w:hAnsi="Palatino Linotype"/>
        </w:rPr>
        <w:t xml:space="preserve"> sources </w:t>
      </w:r>
      <w:r>
        <w:rPr>
          <w:rFonts w:ascii="Palatino Linotype" w:hAnsi="Palatino Linotype"/>
        </w:rPr>
        <w:t>for</w:t>
      </w:r>
      <w:r w:rsidRPr="0097161D">
        <w:rPr>
          <w:rFonts w:ascii="Palatino Linotype" w:hAnsi="Palatino Linotype"/>
        </w:rPr>
        <w:t xml:space="preserve"> William D.D. Jenks, </w:t>
      </w:r>
      <w:r w:rsidRPr="0097161D">
        <w:rPr>
          <w:rFonts w:ascii="Palatino Linotype" w:hAnsi="Palatino Linotype"/>
          <w:i/>
        </w:rPr>
        <w:t>The Explanatory Bible Atlas and Scripture Gazetteer; Geographical, Topographical and Historical....</w:t>
      </w:r>
      <w:r w:rsidRPr="0097161D">
        <w:rPr>
          <w:rFonts w:ascii="Palatino Linotype" w:hAnsi="Palatino Linotype"/>
        </w:rPr>
        <w:t xml:space="preserve"> (Fourth Edition)</w:t>
      </w:r>
      <w:r>
        <w:rPr>
          <w:rFonts w:ascii="Palatino Linotype" w:hAnsi="Palatino Linotype"/>
        </w:rPr>
        <w:t xml:space="preserve"> (</w:t>
      </w:r>
      <w:r w:rsidRPr="0097161D">
        <w:rPr>
          <w:rFonts w:ascii="Palatino Linotype" w:hAnsi="Palatino Linotype"/>
        </w:rPr>
        <w:t xml:space="preserve">Boston: Charles Hickling, 1849): 90, 97; Edward Hitcock, ‘Notes on the Geology of Several Parts of Western Asia: Founded Chiefly on Specimens and Descriptions from American Missionaries’, in: n.s. </w:t>
      </w:r>
      <w:r w:rsidRPr="0097161D">
        <w:rPr>
          <w:rFonts w:ascii="Palatino Linotype" w:hAnsi="Palatino Linotype"/>
          <w:i/>
        </w:rPr>
        <w:t>Reports of the First, Second, and Third Meetings of the Association of American Geologists and Naturalists, at Philadelphia, in 1840, and 1841, and at Boston in 1842</w:t>
      </w:r>
      <w:r>
        <w:rPr>
          <w:rFonts w:ascii="Palatino Linotype" w:hAnsi="Palatino Linotype"/>
          <w:i/>
        </w:rPr>
        <w:t xml:space="preserve"> (</w:t>
      </w:r>
      <w:r w:rsidRPr="0097161D">
        <w:rPr>
          <w:rFonts w:ascii="Palatino Linotype" w:hAnsi="Palatino Linotype"/>
        </w:rPr>
        <w:t xml:space="preserve">Boston: Gould, Kendall and Lincoln, 1843): 348-421. </w:t>
      </w:r>
    </w:p>
  </w:footnote>
  <w:footnote w:id="62">
    <w:p w:rsidR="00A15CD3" w:rsidRPr="0097161D" w:rsidRDefault="00A15CD3" w:rsidP="001761FF">
      <w:pPr>
        <w:pStyle w:val="FootnoteText"/>
        <w:ind w:left="90" w:hanging="90"/>
        <w:jc w:val="both"/>
        <w:rPr>
          <w:rFonts w:ascii="Palatino Linotype" w:hAnsi="Palatino Linotype"/>
        </w:rPr>
      </w:pPr>
      <w:r w:rsidRPr="0097161D">
        <w:rPr>
          <w:rStyle w:val="FootnoteReference"/>
          <w:rFonts w:ascii="Palatino Linotype" w:hAnsi="Palatino Linotype"/>
        </w:rPr>
        <w:footnoteRef/>
      </w:r>
      <w:r w:rsidRPr="0097161D">
        <w:rPr>
          <w:rFonts w:ascii="Palatino Linotype" w:hAnsi="Palatino Linotype"/>
        </w:rPr>
        <w:t xml:space="preserve"> Christine</w:t>
      </w:r>
      <w:r w:rsidRPr="0097161D">
        <w:rPr>
          <w:rFonts w:ascii="Palatino Linotype" w:hAnsi="Palatino Linotype"/>
          <w:szCs w:val="24"/>
        </w:rPr>
        <w:t xml:space="preserve"> </w:t>
      </w:r>
      <w:r w:rsidRPr="0097161D">
        <w:rPr>
          <w:rFonts w:ascii="Palatino Linotype" w:hAnsi="Palatino Linotype"/>
        </w:rPr>
        <w:t>Lindner, ‘From Rebecca to the ‘Three Dancing Girls of Egypt’: American Women’s Encounters of Arab Women during the Nineteenth Century’. Presented at: Southwest-Texas Popular Culture and American Culture Associations 29th Annual Meeting</w:t>
      </w:r>
      <w:r>
        <w:rPr>
          <w:rFonts w:ascii="Palatino Linotype" w:hAnsi="Palatino Linotype"/>
        </w:rPr>
        <w:t xml:space="preserve"> (</w:t>
      </w:r>
      <w:r w:rsidRPr="0097161D">
        <w:rPr>
          <w:rFonts w:ascii="Palatino Linotype" w:hAnsi="Palatino Linotype"/>
        </w:rPr>
        <w:t xml:space="preserve">Albuquerque, New Mexico, 13-16 February 2008). </w:t>
      </w:r>
    </w:p>
  </w:footnote>
  <w:footnote w:id="63">
    <w:p w:rsidR="00A15CD3" w:rsidRPr="0097161D" w:rsidRDefault="00A15CD3" w:rsidP="001761FF">
      <w:pPr>
        <w:pStyle w:val="FootnoteText"/>
        <w:ind w:left="90" w:hanging="90"/>
        <w:jc w:val="both"/>
        <w:rPr>
          <w:rFonts w:ascii="Palatino Linotype" w:hAnsi="Palatino Linotype"/>
        </w:rPr>
      </w:pPr>
      <w:r w:rsidRPr="0097161D">
        <w:rPr>
          <w:rStyle w:val="FootnoteReference"/>
          <w:rFonts w:ascii="Palatino Linotype" w:hAnsi="Palatino Linotype"/>
        </w:rPr>
        <w:footnoteRef/>
      </w:r>
      <w:r w:rsidRPr="0097161D">
        <w:rPr>
          <w:rFonts w:ascii="Palatino Linotype" w:hAnsi="Palatino Linotype"/>
        </w:rPr>
        <w:t xml:space="preserve"> </w:t>
      </w:r>
      <w:r w:rsidRPr="0097161D">
        <w:rPr>
          <w:rFonts w:ascii="Palatino Linotype" w:hAnsi="Palatino Linotype"/>
          <w:lang w:val="en-US"/>
        </w:rPr>
        <w:t>Sarah Smith, ‘Letter to Madam [Mrs. Anderson]’</w:t>
      </w:r>
      <w:r>
        <w:rPr>
          <w:rFonts w:ascii="Palatino Linotype" w:hAnsi="Palatino Linotype"/>
          <w:lang w:val="en-US"/>
        </w:rPr>
        <w:t xml:space="preserve"> (</w:t>
      </w:r>
      <w:r w:rsidRPr="0097161D">
        <w:rPr>
          <w:rFonts w:ascii="Palatino Linotype" w:hAnsi="Palatino Linotype"/>
          <w:lang w:val="en-US"/>
        </w:rPr>
        <w:t>Beirut, 11 April 1834): ABCFM microfilm Unit 5: Near East: Reel 537.</w:t>
      </w:r>
      <w:r w:rsidRPr="0097161D">
        <w:rPr>
          <w:rFonts w:ascii="Palatino Linotype" w:hAnsi="Palatino Linotype"/>
        </w:rPr>
        <w:t xml:space="preserve"> </w:t>
      </w:r>
    </w:p>
  </w:footnote>
  <w:footnote w:id="64">
    <w:p w:rsidR="00A15CD3" w:rsidRPr="006E11AA" w:rsidRDefault="00A15CD3" w:rsidP="001761FF">
      <w:pPr>
        <w:pStyle w:val="FootnoteText"/>
        <w:ind w:left="90" w:hanging="90"/>
        <w:rPr>
          <w:rFonts w:ascii="Palatino Linotype" w:hAnsi="Palatino Linotype"/>
          <w:b/>
        </w:rPr>
      </w:pPr>
      <w:r w:rsidRPr="006E11AA">
        <w:rPr>
          <w:rStyle w:val="FootnoteReference"/>
          <w:rFonts w:ascii="Palatino Linotype" w:hAnsi="Palatino Linotype"/>
        </w:rPr>
        <w:footnoteRef/>
      </w:r>
      <w:r w:rsidRPr="006E11AA">
        <w:rPr>
          <w:rFonts w:ascii="Palatino Linotype" w:hAnsi="Palatino Linotype"/>
        </w:rPr>
        <w:t xml:space="preserve"> </w:t>
      </w:r>
      <w:r w:rsidRPr="006E11AA">
        <w:rPr>
          <w:rFonts w:ascii="Palatino Linotype" w:hAnsi="Palatino Linotype"/>
          <w:lang w:val="en-US"/>
        </w:rPr>
        <w:t xml:space="preserve">Isaac Bird, </w:t>
      </w:r>
      <w:r w:rsidRPr="006E11AA">
        <w:rPr>
          <w:rFonts w:ascii="Palatino Linotype" w:hAnsi="Palatino Linotype"/>
        </w:rPr>
        <w:t>‘</w:t>
      </w:r>
      <w:r w:rsidRPr="006E11AA">
        <w:rPr>
          <w:rFonts w:ascii="Palatino Linotype" w:hAnsi="Palatino Linotype"/>
          <w:lang w:val="en-US"/>
        </w:rPr>
        <w:t>Letter to Sir: Private’ (</w:t>
      </w:r>
      <w:r w:rsidRPr="006E11AA">
        <w:rPr>
          <w:rFonts w:ascii="Palatino Linotype" w:hAnsi="Palatino Linotype"/>
        </w:rPr>
        <w:t xml:space="preserve">Smyrna, 4 December 1835): </w:t>
      </w:r>
      <w:r w:rsidRPr="006E11AA">
        <w:rPr>
          <w:rFonts w:ascii="Palatino Linotype" w:hAnsi="Palatino Linotype"/>
          <w:lang w:val="en-US"/>
        </w:rPr>
        <w:t xml:space="preserve">ABCFM microfilm Unit 5: Near East: </w:t>
      </w:r>
      <w:r w:rsidRPr="006E11AA">
        <w:rPr>
          <w:rFonts w:ascii="Palatino Linotype" w:hAnsi="Palatino Linotype"/>
        </w:rPr>
        <w:t xml:space="preserve">Reel 537: 231; </w:t>
      </w:r>
      <w:r w:rsidRPr="006E11AA">
        <w:rPr>
          <w:rFonts w:ascii="Palatino Linotype" w:hAnsi="Palatino Linotype"/>
          <w:lang w:val="en-US"/>
        </w:rPr>
        <w:t>Samuel</w:t>
      </w:r>
      <w:r w:rsidRPr="0097161D">
        <w:rPr>
          <w:rFonts w:ascii="Palatino Linotype" w:hAnsi="Palatino Linotype"/>
          <w:lang w:val="en-US"/>
        </w:rPr>
        <w:t xml:space="preserve"> Wolcott, ‘Confidential: Letter to Sir’</w:t>
      </w:r>
      <w:r>
        <w:rPr>
          <w:rFonts w:ascii="Palatino Linotype" w:hAnsi="Palatino Linotype"/>
          <w:lang w:val="en-US"/>
        </w:rPr>
        <w:t xml:space="preserve"> (</w:t>
      </w:r>
      <w:r w:rsidRPr="0097161D">
        <w:rPr>
          <w:rFonts w:ascii="Palatino Linotype" w:hAnsi="Palatino Linotype"/>
          <w:lang w:val="en-US"/>
        </w:rPr>
        <w:t xml:space="preserve">Beirut, 8 November 1841): ABCFM microfilm Unit 5: Near East: Reel 539: </w:t>
      </w:r>
      <w:r w:rsidRPr="0097161D">
        <w:rPr>
          <w:rFonts w:ascii="Palatino Linotype" w:hAnsi="Palatino Linotype"/>
        </w:rPr>
        <w:t xml:space="preserve">427-428; </w:t>
      </w:r>
      <w:r w:rsidRPr="0097161D">
        <w:rPr>
          <w:rFonts w:ascii="Palatino Linotype" w:hAnsi="Palatino Linotype"/>
          <w:lang w:val="en-US"/>
        </w:rPr>
        <w:t>George B. Whiting, William M. Thomson, Charles V.A. Van Dyck, ‘Letter to R. Anderson’</w:t>
      </w:r>
      <w:r>
        <w:rPr>
          <w:rFonts w:ascii="Palatino Linotype" w:hAnsi="Palatino Linotype"/>
          <w:lang w:val="en-US"/>
        </w:rPr>
        <w:t xml:space="preserve"> (</w:t>
      </w:r>
      <w:r w:rsidRPr="0097161D">
        <w:rPr>
          <w:rFonts w:ascii="Palatino Linotype" w:hAnsi="Palatino Linotype"/>
          <w:lang w:val="en-US"/>
        </w:rPr>
        <w:t>Abeih, 7 June 1845): ABCFM microfilm Unit 5: Near East: Reel 540: 41-49.</w:t>
      </w:r>
      <w:r w:rsidRPr="0097161D">
        <w:rPr>
          <w:rFonts w:ascii="Palatino Linotype" w:hAnsi="Palatino Linotype"/>
        </w:rPr>
        <w:t xml:space="preserve">  </w:t>
      </w:r>
    </w:p>
  </w:footnote>
  <w:footnote w:id="65">
    <w:p w:rsidR="00A15CD3" w:rsidRPr="00625525" w:rsidRDefault="00A15CD3" w:rsidP="001761FF">
      <w:pPr>
        <w:pStyle w:val="FootnoteText"/>
        <w:ind w:left="90" w:hanging="90"/>
        <w:jc w:val="both"/>
        <w:rPr>
          <w:rFonts w:ascii="Palatino Linotype" w:hAnsi="Palatino Linotype"/>
        </w:rPr>
      </w:pPr>
      <w:r w:rsidRPr="0097161D">
        <w:rPr>
          <w:rStyle w:val="FootnoteReference"/>
          <w:rFonts w:ascii="Palatino Linotype" w:hAnsi="Palatino Linotype"/>
        </w:rPr>
        <w:footnoteRef/>
      </w:r>
      <w:r w:rsidRPr="0097161D">
        <w:rPr>
          <w:rFonts w:ascii="Palatino Linotype" w:hAnsi="Palatino Linotype"/>
        </w:rPr>
        <w:t xml:space="preserve"> </w:t>
      </w:r>
      <w:r w:rsidRPr="00625525">
        <w:rPr>
          <w:rFonts w:ascii="Palatino Linotype" w:hAnsi="Palatino Linotype"/>
        </w:rPr>
        <w:t xml:space="preserve">The public nature of these letters is emphasised </w:t>
      </w:r>
      <w:r>
        <w:rPr>
          <w:rFonts w:ascii="Palatino Linotype" w:hAnsi="Palatino Linotype"/>
        </w:rPr>
        <w:t xml:space="preserve">through the intentionality of some missionaries to note when letters should not be circulated amongst family members. </w:t>
      </w:r>
      <w:r>
        <w:rPr>
          <w:rFonts w:ascii="Palatino Linotype" w:hAnsi="Palatino Linotype"/>
          <w:lang w:val="en-US"/>
        </w:rPr>
        <w:t>Henrietta Smith,</w:t>
      </w:r>
      <w:r w:rsidRPr="00625525">
        <w:rPr>
          <w:rFonts w:ascii="Palatino Linotype" w:hAnsi="Palatino Linotype"/>
          <w:lang w:val="en-US"/>
        </w:rPr>
        <w:t xml:space="preserve"> </w:t>
      </w:r>
      <w:r>
        <w:rPr>
          <w:rFonts w:ascii="Palatino Linotype" w:hAnsi="Palatino Linotype"/>
          <w:lang w:val="en-US"/>
        </w:rPr>
        <w:t>‘Letter to Sister’</w:t>
      </w:r>
      <w:r w:rsidRPr="00625525">
        <w:rPr>
          <w:rFonts w:ascii="Palatino Linotype" w:hAnsi="Palatino Linotype"/>
          <w:lang w:val="en-US"/>
        </w:rPr>
        <w:t xml:space="preserve"> </w:t>
      </w:r>
      <w:r>
        <w:rPr>
          <w:rFonts w:ascii="Palatino Linotype" w:hAnsi="Palatino Linotype"/>
          <w:lang w:val="en-US"/>
        </w:rPr>
        <w:t>(</w:t>
      </w:r>
      <w:r w:rsidRPr="00625525">
        <w:rPr>
          <w:rFonts w:ascii="Palatino Linotype" w:hAnsi="Palatino Linotype"/>
          <w:lang w:val="en-US"/>
        </w:rPr>
        <w:t>n.s.</w:t>
      </w:r>
      <w:r>
        <w:rPr>
          <w:rFonts w:ascii="Palatino Linotype" w:hAnsi="Palatino Linotype"/>
          <w:lang w:val="en-US"/>
        </w:rPr>
        <w:t>, 10 March 1847):</w:t>
      </w:r>
      <w:r w:rsidRPr="00625525">
        <w:rPr>
          <w:rFonts w:ascii="Palatino Linotype" w:hAnsi="Palatino Linotype"/>
          <w:lang w:val="en-US"/>
        </w:rPr>
        <w:t xml:space="preserve"> YDS: ES Box 1: Folder 17.</w:t>
      </w:r>
      <w:r w:rsidRPr="00625525">
        <w:rPr>
          <w:rFonts w:ascii="Palatino Linotype" w:hAnsi="Palatino Linotype"/>
        </w:rPr>
        <w:t xml:space="preserve"> </w:t>
      </w:r>
    </w:p>
  </w:footnote>
  <w:footnote w:id="66">
    <w:p w:rsidR="00A15CD3" w:rsidRPr="002231A7" w:rsidRDefault="00A15CD3" w:rsidP="001761FF">
      <w:pPr>
        <w:pStyle w:val="FootnoteText"/>
        <w:ind w:left="90" w:hanging="90"/>
        <w:jc w:val="both"/>
        <w:rPr>
          <w:rFonts w:ascii="Palatino Linotype" w:hAnsi="Palatino Linotype"/>
          <w:lang w:val="en-US"/>
        </w:rPr>
      </w:pPr>
      <w:r w:rsidRPr="002231A7">
        <w:rPr>
          <w:rStyle w:val="FootnoteReference"/>
          <w:rFonts w:ascii="Palatino Linotype" w:hAnsi="Palatino Linotype"/>
        </w:rPr>
        <w:footnoteRef/>
      </w:r>
      <w:r w:rsidRPr="002231A7">
        <w:rPr>
          <w:rFonts w:ascii="Palatino Linotype" w:hAnsi="Palatino Linotype"/>
        </w:rPr>
        <w:t xml:space="preserve"> </w:t>
      </w:r>
      <w:r w:rsidRPr="002231A7">
        <w:rPr>
          <w:rFonts w:ascii="Palatino Linotype" w:hAnsi="Palatino Linotype"/>
          <w:lang w:val="en-US"/>
        </w:rPr>
        <w:t xml:space="preserve">I reviewed the microfilm </w:t>
      </w:r>
      <w:r>
        <w:rPr>
          <w:rFonts w:ascii="Palatino Linotype" w:hAnsi="Palatino Linotype"/>
          <w:lang w:val="en-US"/>
        </w:rPr>
        <w:t>held by</w:t>
      </w:r>
      <w:r w:rsidRPr="002231A7">
        <w:rPr>
          <w:rFonts w:ascii="Palatino Linotype" w:hAnsi="Palatino Linotype"/>
          <w:lang w:val="en-US"/>
        </w:rPr>
        <w:t xml:space="preserve"> the Lamont Library at Harvard University and Yale Divinity School Library. </w:t>
      </w:r>
      <w:r>
        <w:rPr>
          <w:rFonts w:ascii="Palatino Linotype" w:hAnsi="Palatino Linotype"/>
          <w:lang w:val="en-US"/>
        </w:rPr>
        <w:t>C</w:t>
      </w:r>
      <w:r w:rsidRPr="002231A7">
        <w:rPr>
          <w:rFonts w:ascii="Palatino Linotype" w:hAnsi="Palatino Linotype"/>
          <w:lang w:val="en-US"/>
        </w:rPr>
        <w:t>op</w:t>
      </w:r>
      <w:r>
        <w:rPr>
          <w:rFonts w:ascii="Palatino Linotype" w:hAnsi="Palatino Linotype"/>
          <w:lang w:val="en-US"/>
        </w:rPr>
        <w:t xml:space="preserve">ies </w:t>
      </w:r>
      <w:r w:rsidRPr="002231A7">
        <w:rPr>
          <w:rFonts w:ascii="Palatino Linotype" w:hAnsi="Palatino Linotype"/>
          <w:lang w:val="en-US"/>
        </w:rPr>
        <w:t xml:space="preserve">of these reels are also </w:t>
      </w:r>
      <w:r>
        <w:rPr>
          <w:rFonts w:ascii="Palatino Linotype" w:hAnsi="Palatino Linotype"/>
          <w:lang w:val="en-US"/>
        </w:rPr>
        <w:t>available</w:t>
      </w:r>
      <w:r w:rsidRPr="002231A7">
        <w:rPr>
          <w:rFonts w:ascii="Palatino Linotype" w:hAnsi="Palatino Linotype"/>
          <w:lang w:val="en-US"/>
        </w:rPr>
        <w:t xml:space="preserve"> at Bilkent University</w:t>
      </w:r>
      <w:r>
        <w:rPr>
          <w:rFonts w:ascii="Palatino Linotype" w:hAnsi="Palatino Linotype"/>
          <w:lang w:val="en-US"/>
        </w:rPr>
        <w:t xml:space="preserve"> in Ankara, Turkey</w:t>
      </w:r>
      <w:r w:rsidRPr="002231A7">
        <w:rPr>
          <w:rFonts w:ascii="Palatino Linotype" w:hAnsi="Palatino Linotype"/>
          <w:lang w:val="en-US"/>
        </w:rPr>
        <w:t>.</w:t>
      </w:r>
    </w:p>
  </w:footnote>
  <w:footnote w:id="67">
    <w:p w:rsidR="00A15CD3" w:rsidRPr="002231A7" w:rsidRDefault="00A15CD3" w:rsidP="001761FF">
      <w:pPr>
        <w:pStyle w:val="FootnoteText"/>
        <w:ind w:left="90" w:hanging="90"/>
        <w:jc w:val="both"/>
        <w:rPr>
          <w:lang w:val="en-US"/>
        </w:rPr>
      </w:pPr>
      <w:r w:rsidRPr="002231A7">
        <w:rPr>
          <w:rStyle w:val="FootnoteReference"/>
          <w:rFonts w:ascii="Palatino Linotype" w:hAnsi="Palatino Linotype"/>
        </w:rPr>
        <w:footnoteRef/>
      </w:r>
      <w:r w:rsidRPr="002231A7">
        <w:rPr>
          <w:rFonts w:ascii="Palatino Linotype" w:hAnsi="Palatino Linotype"/>
        </w:rPr>
        <w:t xml:space="preserve"> </w:t>
      </w:r>
      <w:r w:rsidRPr="002231A7">
        <w:rPr>
          <w:rFonts w:ascii="Palatino Linotype" w:hAnsi="Palatino Linotype"/>
          <w:lang w:val="en-US"/>
        </w:rPr>
        <w:t xml:space="preserve">These include </w:t>
      </w:r>
      <w:r w:rsidRPr="002231A7">
        <w:rPr>
          <w:rFonts w:ascii="Palatino Linotype" w:hAnsi="Palatino Linotype"/>
        </w:rPr>
        <w:t xml:space="preserve">Bond, </w:t>
      </w:r>
      <w:r>
        <w:rPr>
          <w:rFonts w:ascii="Palatino Linotype" w:hAnsi="Palatino Linotype"/>
          <w:i/>
        </w:rPr>
        <w:t>Memoir of the Rev. Pliny Fisk</w:t>
      </w:r>
      <w:r w:rsidRPr="002231A7">
        <w:rPr>
          <w:rFonts w:ascii="Palatino Linotype" w:hAnsi="Palatino Linotype"/>
        </w:rPr>
        <w:t xml:space="preserve">; Hooker, </w:t>
      </w:r>
      <w:r w:rsidRPr="002231A7">
        <w:rPr>
          <w:rFonts w:ascii="Palatino Linotype" w:hAnsi="Palatino Linotype"/>
          <w:i/>
        </w:rPr>
        <w:t>MSLS</w:t>
      </w:r>
      <w:r w:rsidRPr="002231A7">
        <w:rPr>
          <w:rFonts w:ascii="Palatino Linotype" w:hAnsi="Palatino Linotype"/>
        </w:rPr>
        <w:t xml:space="preserve">; Prime, </w:t>
      </w:r>
      <w:r w:rsidRPr="002231A7">
        <w:rPr>
          <w:rFonts w:ascii="Palatino Linotype" w:hAnsi="Palatino Linotype"/>
          <w:i/>
        </w:rPr>
        <w:t>Forty Years in the Turkish Empire</w:t>
      </w:r>
      <w:r>
        <w:rPr>
          <w:rFonts w:ascii="Palatino Linotype" w:hAnsi="Palatino Linotype"/>
        </w:rPr>
        <w:t>, and</w:t>
      </w:r>
      <w:r w:rsidRPr="002231A7">
        <w:rPr>
          <w:rFonts w:ascii="Palatino Linotype" w:hAnsi="Palatino Linotype"/>
        </w:rPr>
        <w:t xml:space="preserve"> Jessup, </w:t>
      </w:r>
      <w:r w:rsidRPr="002231A7">
        <w:rPr>
          <w:rFonts w:ascii="Palatino Linotype" w:hAnsi="Palatino Linotype"/>
          <w:i/>
        </w:rPr>
        <w:t>Fifty-Three Years in Syria.</w:t>
      </w:r>
    </w:p>
  </w:footnote>
  <w:footnote w:id="68">
    <w:p w:rsidR="00A15CD3" w:rsidRPr="005D5FFA" w:rsidRDefault="00A15CD3" w:rsidP="001761FF">
      <w:pPr>
        <w:pStyle w:val="FootnoteText"/>
        <w:ind w:left="90" w:hanging="90"/>
        <w:jc w:val="both"/>
        <w:rPr>
          <w:lang w:val="en-US"/>
        </w:rPr>
      </w:pPr>
      <w:r w:rsidRPr="001F6EB1">
        <w:rPr>
          <w:rStyle w:val="FootnoteReference"/>
          <w:rFonts w:ascii="Palatino Linotype" w:hAnsi="Palatino Linotype"/>
        </w:rPr>
        <w:footnoteRef/>
      </w:r>
      <w:r w:rsidRPr="001F6EB1">
        <w:rPr>
          <w:rFonts w:ascii="Palatino Linotype" w:hAnsi="Palatino Linotype"/>
        </w:rPr>
        <w:t xml:space="preserve"> </w:t>
      </w:r>
      <w:r>
        <w:rPr>
          <w:rFonts w:ascii="Palatino Linotype" w:hAnsi="Palatino Linotype"/>
        </w:rPr>
        <w:t>S</w:t>
      </w:r>
      <w:r w:rsidRPr="001F6EB1">
        <w:rPr>
          <w:rFonts w:ascii="Palatino Linotype" w:hAnsi="Palatino Linotype"/>
        </w:rPr>
        <w:t>ee the British Public Records Office FO 226; FO 615; FO 616.</w:t>
      </w:r>
    </w:p>
  </w:footnote>
  <w:footnote w:id="69">
    <w:p w:rsidR="00A15CD3" w:rsidRPr="001F6EB1" w:rsidRDefault="00A15CD3" w:rsidP="001761FF">
      <w:pPr>
        <w:pStyle w:val="FootnoteText"/>
        <w:ind w:left="90" w:hanging="90"/>
        <w:jc w:val="both"/>
        <w:rPr>
          <w:rFonts w:ascii="Palatino Linotype" w:hAnsi="Palatino Linotype"/>
        </w:rPr>
      </w:pPr>
      <w:r w:rsidRPr="0097161D">
        <w:rPr>
          <w:rStyle w:val="FootnoteReference"/>
          <w:rFonts w:ascii="Palatino Linotype" w:hAnsi="Palatino Linotype"/>
        </w:rPr>
        <w:footnoteRef/>
      </w:r>
      <w:r w:rsidRPr="0097161D">
        <w:rPr>
          <w:rFonts w:ascii="Palatino Linotype" w:hAnsi="Palatino Linotype"/>
        </w:rPr>
        <w:t xml:space="preserve"> George Washington Chasseaud, </w:t>
      </w:r>
      <w:r w:rsidRPr="0097161D">
        <w:rPr>
          <w:rFonts w:ascii="Palatino Linotype" w:hAnsi="Palatino Linotype"/>
          <w:i/>
        </w:rPr>
        <w:t>The Druses of the Lebanon</w:t>
      </w:r>
      <w:r w:rsidRPr="0097161D">
        <w:rPr>
          <w:rFonts w:ascii="Palatino Linotype" w:hAnsi="Palatino Linotype"/>
        </w:rPr>
        <w:t xml:space="preserve">: </w:t>
      </w:r>
      <w:r w:rsidRPr="0097161D">
        <w:rPr>
          <w:rFonts w:ascii="Palatino Linotype" w:hAnsi="Palatino Linotype"/>
          <w:i/>
        </w:rPr>
        <w:t>Their Manners, Customs, and History. With a Translation of their Religious Code</w:t>
      </w:r>
      <w:r>
        <w:rPr>
          <w:rFonts w:ascii="Palatino Linotype" w:hAnsi="Palatino Linotype"/>
        </w:rPr>
        <w:t xml:space="preserve"> (</w:t>
      </w:r>
      <w:r w:rsidRPr="0097161D">
        <w:rPr>
          <w:rFonts w:ascii="Palatino Linotype" w:hAnsi="Palatino Linotype"/>
        </w:rPr>
        <w:t xml:space="preserve">London: Richard Bentley, 1855); Colonel Churchill, </w:t>
      </w:r>
      <w:r w:rsidRPr="0097161D">
        <w:rPr>
          <w:rFonts w:ascii="Palatino Linotype" w:hAnsi="Palatino Linotype"/>
          <w:i/>
        </w:rPr>
        <w:t>Mount Lebanon: A Ten Year’s Residence: From 1842 to 1852: Volume I, II, III</w:t>
      </w:r>
      <w:r>
        <w:rPr>
          <w:rFonts w:ascii="Palatino Linotype" w:hAnsi="Palatino Linotype"/>
        </w:rPr>
        <w:t xml:space="preserve"> (</w:t>
      </w:r>
      <w:r w:rsidRPr="0097161D">
        <w:rPr>
          <w:rFonts w:ascii="Palatino Linotype" w:hAnsi="Palatino Linotype"/>
        </w:rPr>
        <w:t>Second Edition)</w:t>
      </w:r>
      <w:r>
        <w:rPr>
          <w:rFonts w:ascii="Palatino Linotype" w:hAnsi="Palatino Linotype"/>
        </w:rPr>
        <w:t xml:space="preserve"> (</w:t>
      </w:r>
      <w:r w:rsidRPr="0097161D">
        <w:rPr>
          <w:rFonts w:ascii="Palatino Linotype" w:hAnsi="Palatino Linotype"/>
        </w:rPr>
        <w:t xml:space="preserve">London: Saunders and Otley,1853); John William DeForest, </w:t>
      </w:r>
      <w:r w:rsidRPr="0097161D">
        <w:rPr>
          <w:rFonts w:ascii="Palatino Linotype" w:hAnsi="Palatino Linotype"/>
          <w:i/>
        </w:rPr>
        <w:t>Oriental Acquaintance; or, Letters from Syria</w:t>
      </w:r>
      <w:r>
        <w:rPr>
          <w:rFonts w:ascii="Palatino Linotype" w:hAnsi="Palatino Linotype"/>
        </w:rPr>
        <w:t xml:space="preserve"> (</w:t>
      </w:r>
      <w:r w:rsidRPr="0097161D">
        <w:rPr>
          <w:rFonts w:ascii="Palatino Linotype" w:hAnsi="Palatino Linotype"/>
        </w:rPr>
        <w:t xml:space="preserve">New York: Miller and Holman, 1856); George Jones, </w:t>
      </w:r>
      <w:r w:rsidRPr="0097161D">
        <w:rPr>
          <w:rFonts w:ascii="Palatino Linotype" w:hAnsi="Palatino Linotype"/>
          <w:i/>
        </w:rPr>
        <w:t>Excursions to Cairo, Jerusalem, Damascus, and Balbec from the United States Ship Delaware, during Her Recent Cruise</w:t>
      </w:r>
      <w:r>
        <w:rPr>
          <w:rFonts w:ascii="Palatino Linotype" w:hAnsi="Palatino Linotype"/>
        </w:rPr>
        <w:t xml:space="preserve"> (</w:t>
      </w:r>
      <w:r w:rsidRPr="0097161D">
        <w:rPr>
          <w:rFonts w:ascii="Palatino Linotype" w:hAnsi="Palatino Linotype"/>
        </w:rPr>
        <w:t xml:space="preserve">New York: Van Nostrand and Dwight, 1836); </w:t>
      </w:r>
      <w:r w:rsidRPr="0097161D">
        <w:rPr>
          <w:rFonts w:ascii="Palatino Linotype" w:hAnsi="Palatino Linotype"/>
          <w:lang w:val="en-US"/>
        </w:rPr>
        <w:t xml:space="preserve">William Francis Lynch, </w:t>
      </w:r>
      <w:r w:rsidRPr="0097161D">
        <w:rPr>
          <w:rFonts w:ascii="Palatino Linotype" w:hAnsi="Palatino Linotype"/>
          <w:i/>
          <w:lang w:val="en-US"/>
        </w:rPr>
        <w:t>Narrative of the United States' Expedition to the River Jordan and the Dead Sea</w:t>
      </w:r>
      <w:r>
        <w:rPr>
          <w:rFonts w:ascii="Palatino Linotype" w:hAnsi="Palatino Linotype"/>
          <w:lang w:val="en-US"/>
        </w:rPr>
        <w:t xml:space="preserve"> (</w:t>
      </w:r>
      <w:r w:rsidRPr="0097161D">
        <w:rPr>
          <w:rFonts w:ascii="Palatino Linotype" w:hAnsi="Palatino Linotype"/>
          <w:lang w:val="en-US"/>
        </w:rPr>
        <w:t xml:space="preserve">Philadelphia: Lea and Blanchard, 1849); </w:t>
      </w:r>
      <w:r w:rsidRPr="0097161D">
        <w:rPr>
          <w:rFonts w:ascii="Palatino Linotype" w:hAnsi="Palatino Linotype"/>
        </w:rPr>
        <w:t xml:space="preserve">Andrew Archibald Paton, </w:t>
      </w:r>
      <w:r w:rsidRPr="0097161D">
        <w:rPr>
          <w:rFonts w:ascii="Palatino Linotype" w:hAnsi="Palatino Linotype"/>
          <w:i/>
        </w:rPr>
        <w:t>The Modern Syrians: Or, Native Society in Damascus, Aleppo, and the Mountains of the Druses, from notes made in those parts during the years 1841-2-3. by an Oriental Student</w:t>
      </w:r>
      <w:r>
        <w:rPr>
          <w:rFonts w:ascii="Palatino Linotype" w:hAnsi="Palatino Linotype"/>
          <w:i/>
        </w:rPr>
        <w:t xml:space="preserve"> (</w:t>
      </w:r>
      <w:r w:rsidRPr="0097161D">
        <w:rPr>
          <w:rFonts w:ascii="Palatino Linotype" w:hAnsi="Palatino Linotype"/>
        </w:rPr>
        <w:t>London: Longman, B</w:t>
      </w:r>
      <w:r>
        <w:rPr>
          <w:rFonts w:ascii="Palatino Linotype" w:hAnsi="Palatino Linotype"/>
        </w:rPr>
        <w:t>rown, Green and Longmans, 1844).</w:t>
      </w:r>
    </w:p>
  </w:footnote>
  <w:footnote w:id="70">
    <w:p w:rsidR="00A15CD3" w:rsidRPr="0097161D" w:rsidRDefault="00A15CD3" w:rsidP="001761FF">
      <w:pPr>
        <w:pStyle w:val="FootnoteText"/>
        <w:ind w:left="90" w:hanging="90"/>
        <w:jc w:val="both"/>
        <w:rPr>
          <w:rFonts w:ascii="Palatino Linotype" w:hAnsi="Palatino Linotype"/>
        </w:rPr>
      </w:pPr>
      <w:r w:rsidRPr="0097161D">
        <w:rPr>
          <w:rStyle w:val="FootnoteReference"/>
          <w:rFonts w:ascii="Palatino Linotype" w:hAnsi="Palatino Linotype"/>
        </w:rPr>
        <w:footnoteRef/>
      </w:r>
      <w:r w:rsidRPr="0097161D">
        <w:rPr>
          <w:rFonts w:ascii="Palatino Linotype" w:hAnsi="Palatino Linotype"/>
        </w:rPr>
        <w:t xml:space="preserve"> Doumato, ‘</w:t>
      </w:r>
      <w:r>
        <w:rPr>
          <w:rFonts w:ascii="Palatino Linotype" w:hAnsi="Palatino Linotype"/>
        </w:rPr>
        <w:t>Missionary Transformations’: 373</w:t>
      </w:r>
      <w:r w:rsidRPr="0097161D">
        <w:rPr>
          <w:rFonts w:ascii="Palatino Linotype" w:hAnsi="Palatino Linotype"/>
        </w:rPr>
        <w:t xml:space="preserve">. </w:t>
      </w:r>
    </w:p>
  </w:footnote>
  <w:footnote w:id="71">
    <w:p w:rsidR="00A15CD3" w:rsidRPr="0097161D" w:rsidRDefault="00A15CD3" w:rsidP="001761FF">
      <w:pPr>
        <w:pStyle w:val="FootnoteText"/>
        <w:ind w:left="90" w:hanging="90"/>
        <w:jc w:val="both"/>
        <w:rPr>
          <w:rFonts w:ascii="Palatino Linotype" w:hAnsi="Palatino Linotype"/>
          <w:lang w:val="en-US"/>
        </w:rPr>
      </w:pPr>
      <w:r w:rsidRPr="0097161D">
        <w:rPr>
          <w:rStyle w:val="FootnoteReference"/>
          <w:rFonts w:ascii="Palatino Linotype" w:hAnsi="Palatino Linotype"/>
        </w:rPr>
        <w:footnoteRef/>
      </w:r>
      <w:r w:rsidRPr="0097161D">
        <w:rPr>
          <w:rFonts w:ascii="Palatino Linotype" w:hAnsi="Palatino Linotype"/>
        </w:rPr>
        <w:t xml:space="preserve"> </w:t>
      </w:r>
      <w:r w:rsidRPr="0097161D">
        <w:rPr>
          <w:rFonts w:ascii="Palatino Linotype" w:hAnsi="Palatino Linotype"/>
          <w:lang w:val="en-US"/>
        </w:rPr>
        <w:t>Wortabet,</w:t>
      </w:r>
      <w:r w:rsidRPr="0097161D">
        <w:rPr>
          <w:rFonts w:ascii="Palatino Linotype" w:hAnsi="Palatino Linotype"/>
          <w:i/>
          <w:lang w:val="en-US"/>
        </w:rPr>
        <w:t xml:space="preserve"> RRS</w:t>
      </w:r>
      <w:r w:rsidRPr="0097161D">
        <w:rPr>
          <w:rFonts w:ascii="Palatino Linotype" w:hAnsi="Palatino Linotype"/>
          <w:lang w:val="en-US"/>
        </w:rPr>
        <w:t>:</w:t>
      </w:r>
      <w:r w:rsidRPr="0097161D">
        <w:rPr>
          <w:rFonts w:ascii="Palatino Linotype" w:hAnsi="Palatino Linotype"/>
          <w:i/>
          <w:lang w:val="en-US"/>
        </w:rPr>
        <w:t xml:space="preserve"> </w:t>
      </w:r>
      <w:r w:rsidRPr="0097161D">
        <w:rPr>
          <w:rFonts w:ascii="Palatino Linotype" w:hAnsi="Palatino Linotype"/>
          <w:lang w:val="en-US"/>
        </w:rPr>
        <w:t>405.</w:t>
      </w:r>
    </w:p>
  </w:footnote>
  <w:footnote w:id="72">
    <w:p w:rsidR="00A15CD3" w:rsidRPr="0097161D" w:rsidRDefault="00A15CD3" w:rsidP="001761FF">
      <w:pPr>
        <w:pStyle w:val="FootnoteText"/>
        <w:ind w:left="90" w:hanging="90"/>
        <w:jc w:val="both"/>
        <w:rPr>
          <w:rFonts w:ascii="Palatino Linotype" w:hAnsi="Palatino Linotype"/>
          <w:lang w:val="en-US"/>
        </w:rPr>
      </w:pPr>
      <w:r w:rsidRPr="0097161D">
        <w:rPr>
          <w:rStyle w:val="FootnoteReference"/>
          <w:rFonts w:ascii="Palatino Linotype" w:hAnsi="Palatino Linotype"/>
        </w:rPr>
        <w:footnoteRef/>
      </w:r>
      <w:r>
        <w:rPr>
          <w:rFonts w:ascii="Palatino Linotype" w:hAnsi="Palatino Linotype"/>
        </w:rPr>
        <w:t xml:space="preserve"> While it has been suggested to me that archives for the ECB may exist for later periods, neither Habib Badr, the </w:t>
      </w:r>
      <w:r w:rsidRPr="0097161D">
        <w:rPr>
          <w:rFonts w:ascii="Palatino Linotype" w:hAnsi="Palatino Linotype"/>
        </w:rPr>
        <w:t xml:space="preserve">pastor of the National Evangelical Church in Beirut (the present day manifestation of the ECB), nor his nephew, Ussama Makdisi, mention </w:t>
      </w:r>
      <w:r>
        <w:rPr>
          <w:rFonts w:ascii="Palatino Linotype" w:hAnsi="Palatino Linotype"/>
        </w:rPr>
        <w:t>examining these records in their studies on the community before 1860.</w:t>
      </w:r>
    </w:p>
  </w:footnote>
  <w:footnote w:id="73">
    <w:p w:rsidR="00A15CD3" w:rsidRPr="0097161D" w:rsidRDefault="00A15CD3" w:rsidP="001761FF">
      <w:pPr>
        <w:pStyle w:val="FootnoteText"/>
        <w:ind w:left="90" w:hanging="90"/>
        <w:jc w:val="both"/>
        <w:rPr>
          <w:rFonts w:ascii="Palatino Linotype" w:hAnsi="Palatino Linotype"/>
          <w:lang w:val="en-US"/>
        </w:rPr>
      </w:pPr>
      <w:r w:rsidRPr="0097161D">
        <w:rPr>
          <w:rStyle w:val="FootnoteReference"/>
          <w:rFonts w:ascii="Palatino Linotype" w:hAnsi="Palatino Linotype"/>
        </w:rPr>
        <w:footnoteRef/>
      </w:r>
      <w:r w:rsidRPr="0097161D">
        <w:rPr>
          <w:rFonts w:ascii="Palatino Linotype" w:hAnsi="Palatino Linotype"/>
        </w:rPr>
        <w:t xml:space="preserve"> Comaroff and Comaroff, </w:t>
      </w:r>
      <w:r>
        <w:rPr>
          <w:rFonts w:ascii="Palatino Linotype" w:hAnsi="Palatino Linotype"/>
          <w:i/>
        </w:rPr>
        <w:t>RR</w:t>
      </w:r>
      <w:r w:rsidRPr="0097161D">
        <w:rPr>
          <w:rFonts w:ascii="Palatino Linotype" w:hAnsi="Palatino Linotype"/>
          <w:i/>
        </w:rPr>
        <w:t>: I</w:t>
      </w:r>
      <w:r w:rsidRPr="0097161D">
        <w:rPr>
          <w:rFonts w:ascii="Palatino Linotype" w:hAnsi="Palatino Linotype"/>
        </w:rPr>
        <w:t>: 38; Doumato, ‘Missionary Transformations’: 374.</w:t>
      </w:r>
    </w:p>
  </w:footnote>
  <w:footnote w:id="74">
    <w:p w:rsidR="00A15CD3" w:rsidRPr="00134529" w:rsidRDefault="00A15CD3" w:rsidP="001761FF">
      <w:pPr>
        <w:pStyle w:val="FootnoteText"/>
        <w:ind w:left="90" w:hanging="90"/>
        <w:jc w:val="both"/>
        <w:rPr>
          <w:lang w:val="en-US"/>
        </w:rPr>
      </w:pPr>
      <w:r>
        <w:rPr>
          <w:rStyle w:val="FootnoteReference"/>
        </w:rPr>
        <w:footnoteRef/>
      </w:r>
      <w:r>
        <w:t xml:space="preserve"> </w:t>
      </w:r>
      <w:r w:rsidRPr="0097161D">
        <w:rPr>
          <w:rFonts w:ascii="Palatino Linotype" w:hAnsi="Palatino Linotype"/>
        </w:rPr>
        <w:t>A criticism of the Comaroff’s first volume was voiced by Peel, who argued that their lack of ‘native’ sources was problematic</w:t>
      </w:r>
      <w:r>
        <w:rPr>
          <w:rFonts w:ascii="Palatino Linotype" w:hAnsi="Palatino Linotype"/>
        </w:rPr>
        <w:t>.</w:t>
      </w:r>
      <w:r w:rsidRPr="0097161D">
        <w:rPr>
          <w:rFonts w:ascii="Palatino Linotype" w:hAnsi="Palatino Linotype"/>
        </w:rPr>
        <w:t xml:space="preserve"> J.D.Y. Peel, ‘For Who Hath Despised the Day of Small Things? Missionary Narratives and Historical Anthropology’, </w:t>
      </w:r>
      <w:r w:rsidRPr="0097161D">
        <w:rPr>
          <w:rFonts w:ascii="Palatino Linotype" w:hAnsi="Palatino Linotype"/>
          <w:i/>
        </w:rPr>
        <w:t>Comparative Studies in Society and History</w:t>
      </w:r>
      <w:r>
        <w:rPr>
          <w:rFonts w:ascii="Palatino Linotype" w:hAnsi="Palatino Linotype"/>
        </w:rPr>
        <w:t xml:space="preserve">, 37: 3 (1995): 581-607. This was refuted in Comaroff and Comaroff, </w:t>
      </w:r>
      <w:r w:rsidRPr="00764650">
        <w:rPr>
          <w:rFonts w:ascii="Palatino Linotype" w:hAnsi="Palatino Linotype"/>
          <w:i/>
        </w:rPr>
        <w:t>RR: II.</w:t>
      </w:r>
    </w:p>
  </w:footnote>
  <w:footnote w:id="75">
    <w:p w:rsidR="00A15CD3" w:rsidRPr="0097161D" w:rsidRDefault="00A15CD3" w:rsidP="001761FF">
      <w:pPr>
        <w:pStyle w:val="FootnoteText"/>
        <w:ind w:left="90" w:hanging="90"/>
        <w:jc w:val="both"/>
        <w:rPr>
          <w:rFonts w:ascii="Palatino Linotype" w:hAnsi="Palatino Linotype"/>
        </w:rPr>
      </w:pPr>
      <w:r w:rsidRPr="0097161D">
        <w:rPr>
          <w:rStyle w:val="FootnoteReference"/>
          <w:rFonts w:ascii="Palatino Linotype" w:hAnsi="Palatino Linotype"/>
        </w:rPr>
        <w:footnoteRef/>
      </w:r>
      <w:r w:rsidRPr="0097161D">
        <w:rPr>
          <w:rFonts w:ascii="Palatino Linotype" w:hAnsi="Palatino Linotype"/>
        </w:rPr>
        <w:t xml:space="preserve"> </w:t>
      </w:r>
      <w:r w:rsidRPr="00931B06">
        <w:rPr>
          <w:rFonts w:ascii="Palatino Linotype" w:hAnsi="Palatino Linotype"/>
        </w:rPr>
        <w:t xml:space="preserve">For example, Jessup’s </w:t>
      </w:r>
      <w:r w:rsidRPr="00931B06">
        <w:rPr>
          <w:rFonts w:ascii="Palatino Linotype" w:hAnsi="Palatino Linotype"/>
          <w:i/>
        </w:rPr>
        <w:t>WA</w:t>
      </w:r>
      <w:r w:rsidRPr="00931B06">
        <w:rPr>
          <w:rFonts w:ascii="Palatino Linotype" w:hAnsi="Palatino Linotype"/>
        </w:rPr>
        <w:t xml:space="preserve"> reprints letters by some Syrian Protestant women that have not been found elsewhere. Other sources of information, such as property deeds and formal petitions, may be found in the Ottoman archives, which can be considered for future research.</w:t>
      </w:r>
      <w:r>
        <w:rPr>
          <w:rFonts w:ascii="Palatino Linotype" w:hAnsi="Palatino Linotype"/>
        </w:rPr>
        <w:t xml:space="preserve"> </w:t>
      </w:r>
      <w:r w:rsidRPr="0097161D">
        <w:rPr>
          <w:rFonts w:ascii="Palatino Linotype" w:hAnsi="Palatino Linotype"/>
        </w:rPr>
        <w:t xml:space="preserve">Compare </w:t>
      </w:r>
      <w:r w:rsidRPr="0097161D">
        <w:rPr>
          <w:rFonts w:ascii="Palatino Linotype" w:hAnsi="Palatino Linotype"/>
          <w:lang w:val="en-US"/>
        </w:rPr>
        <w:t xml:space="preserve">Sarah </w:t>
      </w:r>
      <w:r>
        <w:rPr>
          <w:rFonts w:ascii="Palatino Linotype" w:hAnsi="Palatino Linotype"/>
          <w:lang w:val="en-US"/>
        </w:rPr>
        <w:t>al-</w:t>
      </w:r>
      <w:r w:rsidRPr="0097161D">
        <w:rPr>
          <w:rFonts w:ascii="Palatino Linotype" w:hAnsi="Palatino Linotype"/>
          <w:lang w:val="en-US"/>
        </w:rPr>
        <w:t>Bustani, ‘Letter to Hetty Smith’</w:t>
      </w:r>
      <w:r>
        <w:rPr>
          <w:rFonts w:ascii="Palatino Linotype" w:hAnsi="Palatino Linotype"/>
          <w:lang w:val="en-US"/>
        </w:rPr>
        <w:t xml:space="preserve"> (</w:t>
      </w:r>
      <w:r w:rsidRPr="0097161D">
        <w:rPr>
          <w:rFonts w:ascii="Palatino Linotype" w:hAnsi="Palatino Linotype"/>
          <w:lang w:val="en-US"/>
        </w:rPr>
        <w:t xml:space="preserve">n.s., 8 June n.d.): YDS: ES Box 2: Folder 4; Butrus </w:t>
      </w:r>
      <w:r>
        <w:rPr>
          <w:rFonts w:ascii="Palatino Linotype" w:hAnsi="Palatino Linotype"/>
          <w:lang w:val="en-US"/>
        </w:rPr>
        <w:t>al-</w:t>
      </w:r>
      <w:r w:rsidRPr="0097161D">
        <w:rPr>
          <w:rFonts w:ascii="Palatino Linotype" w:hAnsi="Palatino Linotype"/>
          <w:lang w:val="en-US"/>
        </w:rPr>
        <w:t xml:space="preserve">Bustani, </w:t>
      </w:r>
      <w:r w:rsidRPr="0097161D">
        <w:rPr>
          <w:rFonts w:ascii="Palatino Linotype" w:hAnsi="Palatino Linotype"/>
        </w:rPr>
        <w:t>‘Private: Letter to Eli Smith’</w:t>
      </w:r>
      <w:r>
        <w:rPr>
          <w:rFonts w:ascii="Palatino Linotype" w:hAnsi="Palatino Linotype"/>
        </w:rPr>
        <w:t xml:space="preserve"> (</w:t>
      </w:r>
      <w:r w:rsidRPr="0097161D">
        <w:rPr>
          <w:rFonts w:ascii="Palatino Linotype" w:hAnsi="Palatino Linotype"/>
        </w:rPr>
        <w:t xml:space="preserve">Beirut, 30 May 1856): HHL: </w:t>
      </w:r>
      <w:r>
        <w:rPr>
          <w:rFonts w:ascii="Palatino Linotype" w:hAnsi="Palatino Linotype"/>
        </w:rPr>
        <w:t>ABC 60 (</w:t>
      </w:r>
      <w:r w:rsidRPr="0097161D">
        <w:rPr>
          <w:rFonts w:ascii="Palatino Linotype" w:hAnsi="Palatino Linotype"/>
        </w:rPr>
        <w:t>12</w:t>
      </w:r>
      <w:r>
        <w:rPr>
          <w:rFonts w:ascii="Palatino Linotype" w:hAnsi="Palatino Linotype"/>
        </w:rPr>
        <w:t>)</w:t>
      </w:r>
      <w:r w:rsidRPr="0097161D">
        <w:rPr>
          <w:rFonts w:ascii="Palatino Linotype" w:hAnsi="Palatino Linotype"/>
        </w:rPr>
        <w:t xml:space="preserve">. </w:t>
      </w:r>
    </w:p>
  </w:footnote>
  <w:footnote w:id="76">
    <w:p w:rsidR="00A15CD3" w:rsidRPr="0097161D" w:rsidRDefault="00A15CD3" w:rsidP="001761FF">
      <w:pPr>
        <w:pStyle w:val="FootnoteText"/>
        <w:ind w:left="90" w:hanging="90"/>
        <w:jc w:val="both"/>
        <w:rPr>
          <w:rFonts w:ascii="Palatino Linotype" w:hAnsi="Palatino Linotype"/>
        </w:rPr>
      </w:pPr>
      <w:r w:rsidRPr="0097161D">
        <w:rPr>
          <w:rStyle w:val="FootnoteReference"/>
          <w:rFonts w:ascii="Palatino Linotype" w:hAnsi="Palatino Linotype"/>
        </w:rPr>
        <w:footnoteRef/>
      </w:r>
      <w:r w:rsidRPr="0097161D">
        <w:rPr>
          <w:rFonts w:ascii="Palatino Linotype" w:hAnsi="Palatino Linotype"/>
        </w:rPr>
        <w:t xml:space="preserve"> </w:t>
      </w:r>
      <w:r>
        <w:rPr>
          <w:rFonts w:ascii="Palatino Linotype" w:hAnsi="Palatino Linotype"/>
        </w:rPr>
        <w:t>See</w:t>
      </w:r>
      <w:r w:rsidRPr="0097161D">
        <w:rPr>
          <w:rFonts w:ascii="Palatino Linotype" w:hAnsi="Palatino Linotype"/>
        </w:rPr>
        <w:t xml:space="preserve"> the lectures of the </w:t>
      </w:r>
      <w:r w:rsidRPr="00EA2E93">
        <w:rPr>
          <w:rFonts w:ascii="Palatino Linotype" w:hAnsi="Palatino Linotype"/>
          <w:bCs/>
          <w:i/>
        </w:rPr>
        <w:t>al-Jam'iyya al-Sūriyya li-Iktisāb al-'Ulūm w</w:t>
      </w:r>
      <w:r>
        <w:rPr>
          <w:rFonts w:ascii="Palatino Linotype" w:hAnsi="Palatino Linotype"/>
          <w:bCs/>
          <w:i/>
        </w:rPr>
        <w:t xml:space="preserve">a </w:t>
      </w:r>
      <w:r w:rsidRPr="00EA2E93">
        <w:rPr>
          <w:rFonts w:ascii="Palatino Linotype" w:hAnsi="Palatino Linotype"/>
          <w:bCs/>
          <w:i/>
        </w:rPr>
        <w:t>al-Funūn</w:t>
      </w:r>
      <w:r w:rsidRPr="00EA2E93">
        <w:rPr>
          <w:rFonts w:ascii="Palatino Linotype" w:hAnsi="Palatino Linotype"/>
          <w:b/>
          <w:bCs/>
          <w:i/>
        </w:rPr>
        <w:t xml:space="preserve"> </w:t>
      </w:r>
      <w:r w:rsidRPr="0097161D">
        <w:rPr>
          <w:rFonts w:ascii="Palatino Linotype" w:hAnsi="Palatino Linotype"/>
        </w:rPr>
        <w:t>(Syrian Soc</w:t>
      </w:r>
      <w:r>
        <w:rPr>
          <w:rFonts w:ascii="Palatino Linotype" w:hAnsi="Palatino Linotype"/>
        </w:rPr>
        <w:t xml:space="preserve">iety for the Arts and Sciences) printed </w:t>
      </w:r>
      <w:r w:rsidRPr="0097161D">
        <w:rPr>
          <w:rFonts w:ascii="Palatino Linotype" w:hAnsi="Palatino Linotype"/>
        </w:rPr>
        <w:t xml:space="preserve">in </w:t>
      </w:r>
      <w:r w:rsidRPr="0097161D">
        <w:rPr>
          <w:rFonts w:ascii="Palatino Linotype" w:hAnsi="Palatino Linotype"/>
          <w:lang w:val="en-US"/>
        </w:rPr>
        <w:t>Yusuf Qizma Khuri</w:t>
      </w:r>
      <w:r>
        <w:rPr>
          <w:rFonts w:ascii="Palatino Linotype" w:hAnsi="Palatino Linotype"/>
          <w:lang w:val="en-US"/>
        </w:rPr>
        <w:t>, (ed</w:t>
      </w:r>
      <w:r w:rsidRPr="0097161D">
        <w:rPr>
          <w:rFonts w:ascii="Palatino Linotype" w:hAnsi="Palatino Linotype"/>
          <w:lang w:val="en-US"/>
        </w:rPr>
        <w:t xml:space="preserve">.) </w:t>
      </w:r>
      <w:r w:rsidRPr="0097161D">
        <w:rPr>
          <w:rFonts w:ascii="Palatino Linotype" w:hAnsi="Palatino Linotype"/>
          <w:i/>
          <w:lang w:val="en-US"/>
        </w:rPr>
        <w:t>A‘mal al-Jam‘iyah al-Suriyah lil-‘Ulum wal-Funun, 1847-1852</w:t>
      </w:r>
      <w:r>
        <w:rPr>
          <w:rFonts w:ascii="Palatino Linotype" w:hAnsi="Palatino Linotype"/>
          <w:lang w:val="en-US"/>
        </w:rPr>
        <w:t xml:space="preserve"> (Beirut: Dar al-Hamra’, 1990); </w:t>
      </w:r>
      <w:r w:rsidRPr="0097161D">
        <w:rPr>
          <w:rFonts w:ascii="Palatino Linotype" w:hAnsi="Palatino Linotype"/>
        </w:rPr>
        <w:t xml:space="preserve">Wortabet, </w:t>
      </w:r>
      <w:r w:rsidRPr="0097161D">
        <w:rPr>
          <w:rFonts w:ascii="Palatino Linotype" w:hAnsi="Palatino Linotype"/>
          <w:i/>
        </w:rPr>
        <w:t>RRS</w:t>
      </w:r>
      <w:r>
        <w:rPr>
          <w:rFonts w:ascii="Palatino Linotype" w:hAnsi="Palatino Linotype"/>
        </w:rPr>
        <w:t>; Wortabet</w:t>
      </w:r>
      <w:r w:rsidRPr="0097161D">
        <w:rPr>
          <w:rFonts w:ascii="Palatino Linotype" w:hAnsi="Palatino Linotype"/>
        </w:rPr>
        <w:t xml:space="preserve">, </w:t>
      </w:r>
      <w:r w:rsidRPr="0097161D">
        <w:rPr>
          <w:rFonts w:ascii="Palatino Linotype" w:hAnsi="Palatino Linotype"/>
          <w:i/>
        </w:rPr>
        <w:t>S</w:t>
      </w:r>
      <w:r>
        <w:rPr>
          <w:rFonts w:ascii="Palatino Linotype" w:hAnsi="Palatino Linotype"/>
          <w:i/>
        </w:rPr>
        <w:t>S</w:t>
      </w:r>
      <w:r w:rsidRPr="0097161D">
        <w:rPr>
          <w:rFonts w:ascii="Palatino Linotype" w:hAnsi="Palatino Linotype"/>
        </w:rPr>
        <w:t xml:space="preserve">; Habeeb Risk Allah Effendi, </w:t>
      </w:r>
      <w:r w:rsidRPr="0097161D">
        <w:rPr>
          <w:rFonts w:ascii="Palatino Linotype" w:hAnsi="Palatino Linotype"/>
          <w:i/>
        </w:rPr>
        <w:t>The Thistle and the Cedar of Lebanon</w:t>
      </w:r>
      <w:r w:rsidRPr="0097161D">
        <w:rPr>
          <w:rFonts w:ascii="Palatino Linotype" w:hAnsi="Palatino Linotype"/>
        </w:rPr>
        <w:t>, [1854]</w:t>
      </w:r>
      <w:r>
        <w:rPr>
          <w:rFonts w:ascii="Palatino Linotype" w:hAnsi="Palatino Linotype"/>
        </w:rPr>
        <w:t xml:space="preserve"> (</w:t>
      </w:r>
      <w:r w:rsidRPr="0097161D">
        <w:rPr>
          <w:rFonts w:ascii="Palatino Linotype" w:hAnsi="Palatino Linotype"/>
        </w:rPr>
        <w:t xml:space="preserve">Reading: Garnet. 2001); Assaad Y. Kayat, </w:t>
      </w:r>
      <w:r w:rsidRPr="0097161D">
        <w:rPr>
          <w:rFonts w:ascii="Palatino Linotype" w:hAnsi="Palatino Linotype"/>
          <w:i/>
        </w:rPr>
        <w:t>A Voice from Lebanon, With The Life and Travels of Assaad Y. Kayat</w:t>
      </w:r>
      <w:r>
        <w:rPr>
          <w:rFonts w:ascii="Palatino Linotype" w:hAnsi="Palatino Linotype"/>
        </w:rPr>
        <w:t xml:space="preserve"> (</w:t>
      </w:r>
      <w:r w:rsidRPr="0097161D">
        <w:rPr>
          <w:rFonts w:ascii="Palatino Linotype" w:hAnsi="Palatino Linotype"/>
        </w:rPr>
        <w:t>London: Madden &amp; Co. 1847).</w:t>
      </w:r>
    </w:p>
  </w:footnote>
  <w:footnote w:id="77">
    <w:p w:rsidR="00A15CD3" w:rsidRPr="0097161D" w:rsidRDefault="00A15CD3" w:rsidP="001761FF">
      <w:pPr>
        <w:pStyle w:val="FootnoteText"/>
        <w:ind w:left="90" w:hanging="90"/>
        <w:jc w:val="both"/>
        <w:rPr>
          <w:rFonts w:ascii="Palatino Linotype" w:hAnsi="Palatino Linotype"/>
        </w:rPr>
      </w:pPr>
      <w:r w:rsidRPr="0097161D">
        <w:rPr>
          <w:rStyle w:val="FootnoteReference"/>
          <w:rFonts w:ascii="Palatino Linotype" w:hAnsi="Palatino Linotype"/>
        </w:rPr>
        <w:footnoteRef/>
      </w:r>
      <w:r w:rsidRPr="0097161D">
        <w:rPr>
          <w:rFonts w:ascii="Palatino Linotype" w:hAnsi="Palatino Linotype"/>
        </w:rPr>
        <w:t xml:space="preserve"> </w:t>
      </w:r>
      <w:r w:rsidRPr="0097161D">
        <w:rPr>
          <w:rFonts w:ascii="Palatino Linotype" w:hAnsi="Palatino Linotype"/>
          <w:lang w:val="en-US"/>
        </w:rPr>
        <w:t xml:space="preserve">For an analysis of </w:t>
      </w:r>
      <w:r>
        <w:rPr>
          <w:rFonts w:ascii="Palatino Linotype" w:hAnsi="Palatino Linotype"/>
          <w:lang w:val="en-US"/>
        </w:rPr>
        <w:t>al-</w:t>
      </w:r>
      <w:r w:rsidRPr="0097161D">
        <w:rPr>
          <w:rFonts w:ascii="Palatino Linotype" w:hAnsi="Palatino Linotype"/>
          <w:lang w:val="en-US"/>
        </w:rPr>
        <w:t>Bustani’s engagement</w:t>
      </w:r>
      <w:r>
        <w:rPr>
          <w:rFonts w:ascii="Palatino Linotype" w:hAnsi="Palatino Linotype"/>
          <w:lang w:val="en-US"/>
        </w:rPr>
        <w:t xml:space="preserve"> with</w:t>
      </w:r>
      <w:r w:rsidRPr="0097161D">
        <w:rPr>
          <w:rFonts w:ascii="Palatino Linotype" w:hAnsi="Palatino Linotype"/>
          <w:lang w:val="en-US"/>
        </w:rPr>
        <w:t xml:space="preserve"> and modification of European and American ideologies and narratives</w:t>
      </w:r>
      <w:r>
        <w:rPr>
          <w:rFonts w:ascii="Palatino Linotype" w:hAnsi="Palatino Linotype"/>
          <w:lang w:val="en-US"/>
        </w:rPr>
        <w:t xml:space="preserve"> styles</w:t>
      </w:r>
      <w:r w:rsidRPr="0097161D">
        <w:rPr>
          <w:rFonts w:ascii="Palatino Linotype" w:hAnsi="Palatino Linotype"/>
          <w:lang w:val="en-US"/>
        </w:rPr>
        <w:t xml:space="preserve"> see </w:t>
      </w:r>
      <w:r w:rsidRPr="00E86581">
        <w:rPr>
          <w:rFonts w:ascii="Palatino Linotype" w:hAnsi="Palatino Linotype"/>
          <w:lang w:val="en-US"/>
        </w:rPr>
        <w:t>Stephen Paul</w:t>
      </w:r>
      <w:r w:rsidRPr="00E86581">
        <w:rPr>
          <w:rFonts w:ascii="Palatino Linotype" w:hAnsi="Palatino Linotype"/>
          <w:sz w:val="24"/>
          <w:szCs w:val="24"/>
          <w:lang w:val="en-US"/>
        </w:rPr>
        <w:t xml:space="preserve"> </w:t>
      </w:r>
      <w:r w:rsidRPr="00E86581">
        <w:rPr>
          <w:rFonts w:ascii="Palatino Linotype" w:hAnsi="Palatino Linotype"/>
          <w:lang w:val="en-US"/>
        </w:rPr>
        <w:t>Sheehi, ‘Inscribing the Arab Self: Butrus al-Bustānī and Paradigms of Subjective Reform’</w:t>
      </w:r>
      <w:r>
        <w:rPr>
          <w:rFonts w:ascii="Palatino Linotype" w:hAnsi="Palatino Linotype"/>
          <w:lang w:val="en-US"/>
        </w:rPr>
        <w:t>,</w:t>
      </w:r>
      <w:r w:rsidRPr="00E86581">
        <w:rPr>
          <w:rFonts w:ascii="Palatino Linotype" w:hAnsi="Palatino Linotype"/>
          <w:lang w:val="en-US"/>
        </w:rPr>
        <w:t xml:space="preserve"> </w:t>
      </w:r>
      <w:r w:rsidRPr="00E86581">
        <w:rPr>
          <w:rFonts w:ascii="Palatino Linotype" w:hAnsi="Palatino Linotype"/>
          <w:i/>
          <w:lang w:val="en-US"/>
        </w:rPr>
        <w:t>British Journal of Middle Eastern Studies</w:t>
      </w:r>
      <w:r>
        <w:rPr>
          <w:rFonts w:ascii="Palatino Linotype" w:hAnsi="Palatino Linotype"/>
          <w:i/>
          <w:lang w:val="en-US"/>
        </w:rPr>
        <w:t>,</w:t>
      </w:r>
      <w:r>
        <w:rPr>
          <w:rFonts w:ascii="Palatino Linotype" w:hAnsi="Palatino Linotype"/>
          <w:lang w:val="en-US"/>
        </w:rPr>
        <w:t xml:space="preserve"> 27:1 (2000)</w:t>
      </w:r>
      <w:r w:rsidRPr="0097161D">
        <w:rPr>
          <w:rFonts w:ascii="Palatino Linotype" w:hAnsi="Palatino Linotype"/>
          <w:lang w:val="en-US"/>
        </w:rPr>
        <w:t>: 7-24.</w:t>
      </w:r>
    </w:p>
  </w:footnote>
  <w:footnote w:id="78">
    <w:p w:rsidR="00A15CD3" w:rsidRPr="0097161D" w:rsidRDefault="00A15CD3" w:rsidP="001761FF">
      <w:pPr>
        <w:pStyle w:val="FootnoteText"/>
        <w:ind w:left="90" w:hanging="90"/>
        <w:jc w:val="both"/>
        <w:rPr>
          <w:rFonts w:ascii="Palatino Linotype" w:hAnsi="Palatino Linotype"/>
          <w:lang w:val="en-US"/>
        </w:rPr>
      </w:pPr>
      <w:r w:rsidRPr="0097161D">
        <w:rPr>
          <w:rStyle w:val="FootnoteReference"/>
          <w:rFonts w:ascii="Palatino Linotype" w:hAnsi="Palatino Linotype"/>
        </w:rPr>
        <w:footnoteRef/>
      </w:r>
      <w:r w:rsidRPr="0097161D">
        <w:rPr>
          <w:rFonts w:ascii="Palatino Linotype" w:hAnsi="Palatino Linotype"/>
        </w:rPr>
        <w:t xml:space="preserve"> Works in Subaltern Studies have illuminated the benefits and problems with this approach. See Mary P. Sutphen and Bridie Andrews</w:t>
      </w:r>
      <w:r>
        <w:rPr>
          <w:rFonts w:ascii="Palatino Linotype" w:hAnsi="Palatino Linotype"/>
        </w:rPr>
        <w:t>, (ed</w:t>
      </w:r>
      <w:r w:rsidRPr="0097161D">
        <w:rPr>
          <w:rFonts w:ascii="Palatino Linotype" w:hAnsi="Palatino Linotype"/>
        </w:rPr>
        <w:t xml:space="preserve">s.), </w:t>
      </w:r>
      <w:r w:rsidRPr="0097161D">
        <w:rPr>
          <w:rFonts w:ascii="Palatino Linotype" w:hAnsi="Palatino Linotype"/>
          <w:i/>
        </w:rPr>
        <w:t>Medicine and Colonial Identity</w:t>
      </w:r>
      <w:r>
        <w:rPr>
          <w:rFonts w:ascii="Palatino Linotype" w:hAnsi="Palatino Linotype"/>
        </w:rPr>
        <w:t xml:space="preserve"> (</w:t>
      </w:r>
      <w:r w:rsidRPr="0097161D">
        <w:rPr>
          <w:rFonts w:ascii="Palatino Linotype" w:hAnsi="Palatino Linotype"/>
        </w:rPr>
        <w:t>London: R</w:t>
      </w:r>
      <w:r>
        <w:rPr>
          <w:rFonts w:ascii="Palatino Linotype" w:hAnsi="Palatino Linotype"/>
        </w:rPr>
        <w:t>o</w:t>
      </w:r>
      <w:r w:rsidRPr="0097161D">
        <w:rPr>
          <w:rFonts w:ascii="Palatino Linotype" w:hAnsi="Palatino Linotype"/>
        </w:rPr>
        <w:t>utled</w:t>
      </w:r>
      <w:r>
        <w:rPr>
          <w:rFonts w:ascii="Palatino Linotype" w:hAnsi="Palatino Linotype"/>
        </w:rPr>
        <w:t>g</w:t>
      </w:r>
      <w:r w:rsidRPr="0097161D">
        <w:rPr>
          <w:rFonts w:ascii="Palatino Linotype" w:hAnsi="Palatino Linotype"/>
        </w:rPr>
        <w:t>e, 2003), 2-4.</w:t>
      </w:r>
    </w:p>
  </w:footnote>
  <w:footnote w:id="79">
    <w:p w:rsidR="00A15CD3" w:rsidRPr="0097161D" w:rsidRDefault="00A15CD3" w:rsidP="001761FF">
      <w:pPr>
        <w:pStyle w:val="FootnoteText"/>
        <w:ind w:left="90" w:hanging="90"/>
        <w:jc w:val="both"/>
        <w:rPr>
          <w:rFonts w:ascii="Palatino Linotype" w:hAnsi="Palatino Linotype"/>
          <w:lang w:val="en-US"/>
        </w:rPr>
      </w:pPr>
      <w:r w:rsidRPr="0097161D">
        <w:rPr>
          <w:rStyle w:val="FootnoteReference"/>
          <w:rFonts w:ascii="Palatino Linotype" w:hAnsi="Palatino Linotype"/>
        </w:rPr>
        <w:footnoteRef/>
      </w:r>
      <w:r w:rsidRPr="0097161D">
        <w:rPr>
          <w:rFonts w:ascii="Palatino Linotype" w:hAnsi="Palatino Linotype"/>
        </w:rPr>
        <w:t xml:space="preserve"> </w:t>
      </w:r>
      <w:r>
        <w:rPr>
          <w:rFonts w:ascii="Palatino Linotype" w:hAnsi="Palatino Linotype"/>
        </w:rPr>
        <w:t>This question arises in how to analyse the letters by missionary women and Syrian Protestant women within in Jessup,</w:t>
      </w:r>
      <w:r w:rsidRPr="0097161D">
        <w:rPr>
          <w:rFonts w:ascii="Palatino Linotype" w:hAnsi="Palatino Linotype"/>
        </w:rPr>
        <w:t xml:space="preserve"> </w:t>
      </w:r>
      <w:r w:rsidRPr="0097161D">
        <w:rPr>
          <w:rFonts w:ascii="Palatino Linotype" w:hAnsi="Palatino Linotype"/>
          <w:i/>
        </w:rPr>
        <w:t>WA</w:t>
      </w:r>
      <w:r>
        <w:rPr>
          <w:rFonts w:ascii="Palatino Linotype" w:hAnsi="Palatino Linotype"/>
        </w:rPr>
        <w:t>.</w:t>
      </w:r>
    </w:p>
  </w:footnote>
  <w:footnote w:id="80">
    <w:p w:rsidR="00A15CD3" w:rsidRPr="0097161D" w:rsidRDefault="00A15CD3" w:rsidP="001761FF">
      <w:pPr>
        <w:pStyle w:val="FootnoteText"/>
        <w:ind w:left="90" w:hanging="90"/>
        <w:jc w:val="both"/>
        <w:rPr>
          <w:rFonts w:ascii="Palatino Linotype" w:hAnsi="Palatino Linotype"/>
        </w:rPr>
      </w:pPr>
      <w:r w:rsidRPr="0097161D">
        <w:rPr>
          <w:rStyle w:val="FootnoteReference"/>
          <w:rFonts w:ascii="Palatino Linotype" w:hAnsi="Palatino Linotype"/>
        </w:rPr>
        <w:footnoteRef/>
      </w:r>
      <w:r w:rsidRPr="0097161D">
        <w:rPr>
          <w:rFonts w:ascii="Palatino Linotype" w:hAnsi="Palatino Linotype"/>
        </w:rPr>
        <w:t xml:space="preserve"> </w:t>
      </w:r>
      <w:r w:rsidRPr="0097161D">
        <w:rPr>
          <w:rFonts w:ascii="Palatino Linotype" w:hAnsi="Palatino Linotype"/>
          <w:lang w:val="en-US"/>
        </w:rPr>
        <w:t xml:space="preserve">Compare </w:t>
      </w:r>
      <w:r w:rsidRPr="0097161D">
        <w:rPr>
          <w:rFonts w:ascii="Palatino Linotype" w:hAnsi="Palatino Linotype"/>
        </w:rPr>
        <w:t xml:space="preserve">Rev. J.L. Blake, </w:t>
      </w:r>
      <w:r w:rsidRPr="0097161D">
        <w:rPr>
          <w:rFonts w:ascii="Palatino Linotype" w:hAnsi="Palatino Linotype"/>
          <w:i/>
        </w:rPr>
        <w:t>American Universal Geography, for Schools and Academics. On the Principles of Analysis and Comparison</w:t>
      </w:r>
      <w:r>
        <w:rPr>
          <w:rFonts w:ascii="Palatino Linotype" w:hAnsi="Palatino Linotype"/>
          <w:i/>
        </w:rPr>
        <w:t xml:space="preserve"> </w:t>
      </w:r>
      <w:r w:rsidRPr="003C6AE1">
        <w:rPr>
          <w:rFonts w:ascii="Palatino Linotype" w:hAnsi="Palatino Linotype"/>
        </w:rPr>
        <w:t>(Boston</w:t>
      </w:r>
      <w:r w:rsidRPr="0097161D">
        <w:rPr>
          <w:rFonts w:ascii="Palatino Linotype" w:hAnsi="Palatino Linotype"/>
        </w:rPr>
        <w:t>: Lilly, Wait &amp;c., 1833) with n.s.</w:t>
      </w:r>
      <w:r>
        <w:rPr>
          <w:rFonts w:ascii="Palatino Linotype" w:hAnsi="Palatino Linotype"/>
        </w:rPr>
        <w:t>,</w:t>
      </w:r>
      <w:r w:rsidRPr="0097161D">
        <w:rPr>
          <w:rFonts w:ascii="Palatino Linotype" w:hAnsi="Palatino Linotype"/>
        </w:rPr>
        <w:t xml:space="preserve"> ‘Map of Beyroot and Vicinity’, in: Tracey, ‘HABCFM’.</w:t>
      </w:r>
    </w:p>
  </w:footnote>
  <w:footnote w:id="81">
    <w:p w:rsidR="00A15CD3" w:rsidRPr="0097161D" w:rsidRDefault="00A15CD3" w:rsidP="001761FF">
      <w:pPr>
        <w:pStyle w:val="FootnoteText"/>
        <w:ind w:left="90" w:hanging="90"/>
        <w:jc w:val="both"/>
        <w:rPr>
          <w:rFonts w:ascii="Palatino Linotype" w:hAnsi="Palatino Linotype"/>
        </w:rPr>
      </w:pPr>
      <w:r w:rsidRPr="0097161D">
        <w:rPr>
          <w:rStyle w:val="FootnoteReference"/>
          <w:rFonts w:ascii="Palatino Linotype" w:hAnsi="Palatino Linotype"/>
        </w:rPr>
        <w:footnoteRef/>
      </w:r>
      <w:r w:rsidRPr="0097161D">
        <w:rPr>
          <w:rFonts w:ascii="Palatino Linotype" w:hAnsi="Palatino Linotype"/>
        </w:rPr>
        <w:t xml:space="preserve"> Compare n.s., ‘Plan of the Town and Harbour of Beirout: Ancient Berytus’</w:t>
      </w:r>
      <w:r>
        <w:rPr>
          <w:rFonts w:ascii="Palatino Linotype" w:hAnsi="Palatino Linotype"/>
        </w:rPr>
        <w:t xml:space="preserve"> (</w:t>
      </w:r>
      <w:r w:rsidRPr="0097161D">
        <w:rPr>
          <w:rFonts w:ascii="Palatino Linotype" w:hAnsi="Palatino Linotype"/>
        </w:rPr>
        <w:t>London: Jas. Wyld, 1840); n.s. (1841)</w:t>
      </w:r>
      <w:r w:rsidRPr="0097161D">
        <w:rPr>
          <w:rFonts w:ascii="Palatino Linotype" w:hAnsi="Palatino Linotype"/>
          <w:b/>
        </w:rPr>
        <w:t xml:space="preserve"> ‘</w:t>
      </w:r>
      <w:r w:rsidRPr="0097161D">
        <w:rPr>
          <w:rFonts w:ascii="Palatino Linotype" w:hAnsi="Palatino Linotype"/>
        </w:rPr>
        <w:t>Beirut in 1841’, in: Michael F.</w:t>
      </w:r>
      <w:r w:rsidRPr="0097161D">
        <w:rPr>
          <w:rFonts w:ascii="Palatino Linotype" w:hAnsi="Palatino Linotype"/>
          <w:b/>
        </w:rPr>
        <w:t xml:space="preserve"> </w:t>
      </w:r>
      <w:r w:rsidRPr="0097161D">
        <w:rPr>
          <w:rFonts w:ascii="Palatino Linotype" w:hAnsi="Palatino Linotype"/>
        </w:rPr>
        <w:t xml:space="preserve">Davie, </w:t>
      </w:r>
      <w:r w:rsidRPr="0097161D">
        <w:rPr>
          <w:rFonts w:ascii="Palatino Linotype" w:hAnsi="Palatino Linotype"/>
          <w:b/>
        </w:rPr>
        <w:t>‘</w:t>
      </w:r>
      <w:r w:rsidRPr="0097161D">
        <w:rPr>
          <w:rFonts w:ascii="Palatino Linotype" w:hAnsi="Palatino Linotype"/>
        </w:rPr>
        <w:t xml:space="preserve">Maps and the Historical Topography of Beirut’, </w:t>
      </w:r>
      <w:r w:rsidRPr="0097161D">
        <w:rPr>
          <w:rFonts w:ascii="Palatino Linotype" w:hAnsi="Palatino Linotype"/>
          <w:i/>
        </w:rPr>
        <w:t>Berytus</w:t>
      </w:r>
      <w:r w:rsidRPr="0097161D">
        <w:rPr>
          <w:rFonts w:ascii="Palatino Linotype" w:hAnsi="Palatino Linotype"/>
        </w:rPr>
        <w:t>, 35 [online] (1987):</w:t>
      </w:r>
      <w:r>
        <w:rPr>
          <w:rFonts w:ascii="Palatino Linotype" w:hAnsi="Palatino Linotype"/>
        </w:rPr>
        <w:t xml:space="preserve"> </w:t>
      </w:r>
      <w:r w:rsidRPr="0097161D">
        <w:rPr>
          <w:rFonts w:ascii="Palatino Linotype" w:hAnsi="Palatino Linotype"/>
        </w:rPr>
        <w:t>141-164, available at: http://almashriq.hiof.no/lebanon/900/930/930.1/beirut/reconstruction/davie/Davie-text.html. [accessed on 30 November 2003]</w:t>
      </w:r>
      <w:r>
        <w:rPr>
          <w:rFonts w:ascii="Palatino Linotype" w:hAnsi="Palatino Linotype"/>
        </w:rPr>
        <w:t xml:space="preserve"> and</w:t>
      </w:r>
      <w:r w:rsidRPr="0097161D">
        <w:rPr>
          <w:rFonts w:ascii="Palatino Linotype" w:hAnsi="Palatino Linotype"/>
        </w:rPr>
        <w:t xml:space="preserve"> C. Rochefort Scott, ‘Sketch of Beyrout and Vicinity’</w:t>
      </w:r>
      <w:r>
        <w:rPr>
          <w:rFonts w:ascii="Palatino Linotype" w:hAnsi="Palatino Linotype"/>
        </w:rPr>
        <w:t xml:space="preserve"> (</w:t>
      </w:r>
      <w:r w:rsidRPr="0097161D">
        <w:rPr>
          <w:rFonts w:ascii="Palatino Linotype" w:hAnsi="Palatino Linotype"/>
        </w:rPr>
        <w:t>1841), [British] PRO: WO: 78/1000/2</w:t>
      </w:r>
      <w:r>
        <w:rPr>
          <w:rFonts w:ascii="Palatino Linotype" w:hAnsi="Palatino Linotype"/>
        </w:rPr>
        <w:t xml:space="preserve"> to </w:t>
      </w:r>
      <w:r w:rsidRPr="0097161D">
        <w:rPr>
          <w:rFonts w:ascii="Palatino Linotype" w:hAnsi="Palatino Linotype"/>
        </w:rPr>
        <w:t xml:space="preserve">Karl Baedeker, ‘Beirut/Berytus’, </w:t>
      </w:r>
      <w:r w:rsidRPr="0097161D">
        <w:rPr>
          <w:rFonts w:ascii="Palatino Linotype" w:hAnsi="Palatino Linotype"/>
          <w:i/>
        </w:rPr>
        <w:t>Palestine and Syria: Handbook for Travellers</w:t>
      </w:r>
      <w:r>
        <w:rPr>
          <w:rFonts w:ascii="Palatino Linotype" w:hAnsi="Palatino Linotype"/>
          <w:i/>
        </w:rPr>
        <w:t xml:space="preserve"> </w:t>
      </w:r>
      <w:r w:rsidRPr="003C6AE1">
        <w:rPr>
          <w:rFonts w:ascii="Palatino Linotype" w:hAnsi="Palatino Linotype"/>
        </w:rPr>
        <w:t>(L</w:t>
      </w:r>
      <w:r w:rsidRPr="0097161D">
        <w:rPr>
          <w:rFonts w:ascii="Palatino Linotype" w:hAnsi="Palatino Linotype"/>
        </w:rPr>
        <w:t>eipsic: Karl Baedeker Publishers, 1898), AUB Library Archives.</w:t>
      </w:r>
    </w:p>
  </w:footnote>
  <w:footnote w:id="82">
    <w:p w:rsidR="00A15CD3" w:rsidRPr="0097161D" w:rsidRDefault="00A15CD3" w:rsidP="001761FF">
      <w:pPr>
        <w:pStyle w:val="FootnoteText"/>
        <w:ind w:left="90" w:hanging="90"/>
        <w:jc w:val="both"/>
        <w:rPr>
          <w:rFonts w:ascii="Palatino Linotype" w:hAnsi="Palatino Linotype"/>
          <w:lang w:val="en-US"/>
        </w:rPr>
      </w:pPr>
      <w:r w:rsidRPr="0097161D">
        <w:rPr>
          <w:rStyle w:val="FootnoteReference"/>
          <w:rFonts w:ascii="Palatino Linotype" w:hAnsi="Palatino Linotype"/>
        </w:rPr>
        <w:footnoteRef/>
      </w:r>
      <w:r w:rsidRPr="0097161D">
        <w:rPr>
          <w:rFonts w:ascii="Palatino Linotype" w:hAnsi="Palatino Linotype"/>
        </w:rPr>
        <w:t xml:space="preserve"> </w:t>
      </w:r>
      <w:r>
        <w:rPr>
          <w:rFonts w:ascii="Palatino Linotype" w:hAnsi="Palatino Linotype"/>
          <w:lang w:val="en-US"/>
        </w:rPr>
        <w:t xml:space="preserve">These </w:t>
      </w:r>
      <w:r w:rsidRPr="0097161D">
        <w:rPr>
          <w:rFonts w:ascii="Palatino Linotype" w:hAnsi="Palatino Linotype"/>
          <w:lang w:val="en-US"/>
        </w:rPr>
        <w:t xml:space="preserve">portraits </w:t>
      </w:r>
      <w:r>
        <w:rPr>
          <w:rFonts w:ascii="Palatino Linotype" w:hAnsi="Palatino Linotype"/>
          <w:lang w:val="en-US"/>
        </w:rPr>
        <w:t xml:space="preserve">can be found </w:t>
      </w:r>
      <w:r w:rsidRPr="0097161D">
        <w:rPr>
          <w:rFonts w:ascii="Palatino Linotype" w:hAnsi="Palatino Linotype"/>
          <w:lang w:val="en-US"/>
        </w:rPr>
        <w:t xml:space="preserve">in the 1910 version of Jessup, </w:t>
      </w:r>
      <w:r w:rsidRPr="0097161D">
        <w:rPr>
          <w:rFonts w:ascii="Palatino Linotype" w:hAnsi="Palatino Linotype"/>
          <w:i/>
          <w:lang w:val="en-US"/>
        </w:rPr>
        <w:t>Fifty-Three Years</w:t>
      </w:r>
      <w:r>
        <w:rPr>
          <w:rFonts w:ascii="Palatino Linotype" w:hAnsi="Palatino Linotype"/>
          <w:i/>
          <w:lang w:val="en-US"/>
        </w:rPr>
        <w:t>,</w:t>
      </w:r>
      <w:r w:rsidRPr="0097161D">
        <w:rPr>
          <w:rFonts w:ascii="Palatino Linotype" w:hAnsi="Palatino Linotype"/>
          <w:lang w:val="en-US"/>
        </w:rPr>
        <w:t xml:space="preserve"> the AUB Library Archives</w:t>
      </w:r>
      <w:r>
        <w:rPr>
          <w:rFonts w:ascii="Palatino Linotype" w:hAnsi="Palatino Linotype"/>
          <w:lang w:val="en-US"/>
        </w:rPr>
        <w:t>,</w:t>
      </w:r>
      <w:r w:rsidRPr="0097161D">
        <w:rPr>
          <w:rFonts w:ascii="Palatino Linotype" w:hAnsi="Palatino Linotype"/>
          <w:lang w:val="en-US"/>
        </w:rPr>
        <w:t xml:space="preserve"> Yale Divinity School Archives</w:t>
      </w:r>
      <w:r>
        <w:rPr>
          <w:rFonts w:ascii="Palatino Linotype" w:hAnsi="Palatino Linotype"/>
          <w:lang w:val="en-US"/>
        </w:rPr>
        <w:t xml:space="preserve"> and</w:t>
      </w:r>
      <w:r w:rsidRPr="0097161D">
        <w:rPr>
          <w:rFonts w:ascii="Palatino Linotype" w:hAnsi="Palatino Linotype"/>
          <w:lang w:val="en-US"/>
        </w:rPr>
        <w:t xml:space="preserve"> </w:t>
      </w:r>
      <w:r w:rsidRPr="00031A18">
        <w:rPr>
          <w:rFonts w:ascii="Palatino Linotype" w:hAnsi="Palatino Linotype"/>
          <w:lang w:val="en-US"/>
        </w:rPr>
        <w:t>Gebhardt,</w:t>
      </w:r>
      <w:r w:rsidRPr="0097161D">
        <w:rPr>
          <w:rFonts w:ascii="Palatino Linotype" w:hAnsi="Palatino Linotype"/>
          <w:i/>
          <w:lang w:val="en-US"/>
        </w:rPr>
        <w:t xml:space="preserve"> HSSCB</w:t>
      </w:r>
      <w:r w:rsidRPr="0097161D">
        <w:rPr>
          <w:rFonts w:ascii="Palatino Linotype" w:hAnsi="Palatino Linotype"/>
          <w:lang w:val="en-US"/>
        </w:rPr>
        <w:t>: 404-405.</w:t>
      </w:r>
    </w:p>
  </w:footnote>
  <w:footnote w:id="83">
    <w:p w:rsidR="00A15CD3" w:rsidRPr="00CB1E01" w:rsidRDefault="00A15CD3" w:rsidP="001761FF">
      <w:pPr>
        <w:pStyle w:val="FootnoteText"/>
        <w:ind w:left="90" w:hanging="90"/>
        <w:jc w:val="both"/>
        <w:rPr>
          <w:rFonts w:ascii="Palatino Linotype" w:hAnsi="Palatino Linotype"/>
          <w:lang w:val="en-US"/>
        </w:rPr>
      </w:pPr>
      <w:r w:rsidRPr="00CB1E01">
        <w:rPr>
          <w:rStyle w:val="FootnoteReference"/>
          <w:rFonts w:ascii="Palatino Linotype" w:hAnsi="Palatino Linotype"/>
        </w:rPr>
        <w:footnoteRef/>
      </w:r>
      <w:r w:rsidRPr="00CB1E01">
        <w:rPr>
          <w:rFonts w:ascii="Palatino Linotype" w:hAnsi="Palatino Linotype"/>
        </w:rPr>
        <w:t xml:space="preserve"> </w:t>
      </w:r>
      <w:r w:rsidRPr="00CB1E01">
        <w:rPr>
          <w:rFonts w:ascii="Palatino Linotype" w:hAnsi="Palatino Linotype"/>
          <w:lang w:val="en-US"/>
        </w:rPr>
        <w:t xml:space="preserve">Sarah </w:t>
      </w:r>
      <w:r>
        <w:rPr>
          <w:rFonts w:ascii="Palatino Linotype" w:hAnsi="Palatino Linotype"/>
          <w:lang w:val="en-US"/>
        </w:rPr>
        <w:t>al-</w:t>
      </w:r>
      <w:r w:rsidRPr="00CB1E01">
        <w:rPr>
          <w:rFonts w:ascii="Palatino Linotype" w:hAnsi="Palatino Linotype"/>
          <w:lang w:val="en-US"/>
        </w:rPr>
        <w:t>Bustani, ‘Letter to Hetty Smith’.</w:t>
      </w:r>
    </w:p>
  </w:footnote>
  <w:footnote w:id="84">
    <w:p w:rsidR="00A15CD3" w:rsidRPr="0097161D" w:rsidRDefault="00A15CD3" w:rsidP="001761FF">
      <w:pPr>
        <w:pStyle w:val="FootnoteText"/>
        <w:ind w:left="90" w:hanging="90"/>
        <w:jc w:val="both"/>
        <w:rPr>
          <w:rFonts w:ascii="Palatino Linotype" w:hAnsi="Palatino Linotype"/>
          <w:lang w:val="en-US"/>
        </w:rPr>
      </w:pPr>
      <w:r w:rsidRPr="0097161D">
        <w:rPr>
          <w:rStyle w:val="FootnoteReference"/>
          <w:rFonts w:ascii="Palatino Linotype" w:hAnsi="Palatino Linotype"/>
        </w:rPr>
        <w:footnoteRef/>
      </w:r>
      <w:r w:rsidRPr="0097161D">
        <w:rPr>
          <w:rFonts w:ascii="Palatino Linotype" w:hAnsi="Palatino Linotype"/>
        </w:rPr>
        <w:t xml:space="preserve"> </w:t>
      </w:r>
      <w:r>
        <w:rPr>
          <w:rFonts w:ascii="Palatino Linotype" w:hAnsi="Palatino Linotype"/>
        </w:rPr>
        <w:t xml:space="preserve">These images are found in </w:t>
      </w:r>
      <w:r w:rsidRPr="0097161D">
        <w:rPr>
          <w:rFonts w:ascii="Palatino Linotype" w:hAnsi="Palatino Linotype"/>
        </w:rPr>
        <w:t xml:space="preserve">Jessup, </w:t>
      </w:r>
      <w:r w:rsidRPr="0097161D">
        <w:rPr>
          <w:rFonts w:ascii="Palatino Linotype" w:hAnsi="Palatino Linotype"/>
          <w:i/>
        </w:rPr>
        <w:t>Fifty-Three Years,</w:t>
      </w:r>
      <w:r w:rsidRPr="0097161D">
        <w:rPr>
          <w:rFonts w:ascii="Palatino Linotype" w:hAnsi="Palatino Linotype"/>
        </w:rPr>
        <w:t xml:space="preserve"> </w:t>
      </w:r>
      <w:r w:rsidRPr="0097161D">
        <w:rPr>
          <w:rFonts w:ascii="Palatino Linotype" w:hAnsi="Palatino Linotype"/>
          <w:lang w:val="en-US"/>
        </w:rPr>
        <w:t>n.s., ‘The American Mission Compound’ [1874], in: The National Evangelical Church of Beirut, ‘The Rebuilding’</w:t>
      </w:r>
      <w:r>
        <w:rPr>
          <w:rFonts w:ascii="Palatino Linotype" w:hAnsi="Palatino Linotype"/>
          <w:lang w:val="en-US"/>
        </w:rPr>
        <w:t xml:space="preserve"> (</w:t>
      </w:r>
      <w:r w:rsidRPr="0097161D">
        <w:rPr>
          <w:rFonts w:ascii="Palatino Linotype" w:hAnsi="Palatino Linotype"/>
          <w:lang w:val="en-US"/>
        </w:rPr>
        <w:t>Beirut: Al-Khal Printers, n.d); n.s., ‘The National Evangelical Church of Beirut’, [1890], in: The National Evangelical Church of Beirut, ‘The Rebuilding’</w:t>
      </w:r>
      <w:r>
        <w:rPr>
          <w:rFonts w:ascii="Palatino Linotype" w:hAnsi="Palatino Linotype"/>
          <w:lang w:val="en-US"/>
        </w:rPr>
        <w:t xml:space="preserve"> (</w:t>
      </w:r>
      <w:r w:rsidRPr="0097161D">
        <w:rPr>
          <w:rFonts w:ascii="Palatino Linotype" w:hAnsi="Palatino Linotype"/>
          <w:lang w:val="en-US"/>
        </w:rPr>
        <w:t>Beirut: Al-Khal Printers, n.d.).</w:t>
      </w:r>
    </w:p>
  </w:footnote>
  <w:footnote w:id="85">
    <w:p w:rsidR="00A15CD3" w:rsidRPr="0097161D" w:rsidRDefault="00A15CD3" w:rsidP="001761FF">
      <w:pPr>
        <w:pStyle w:val="FootnoteText"/>
        <w:ind w:left="90" w:hanging="90"/>
        <w:jc w:val="both"/>
        <w:rPr>
          <w:rFonts w:ascii="Palatino Linotype" w:hAnsi="Palatino Linotype"/>
          <w:lang w:val="en-US"/>
        </w:rPr>
      </w:pPr>
      <w:r w:rsidRPr="0097161D">
        <w:rPr>
          <w:rStyle w:val="FootnoteReference"/>
          <w:rFonts w:ascii="Palatino Linotype" w:hAnsi="Palatino Linotype"/>
        </w:rPr>
        <w:footnoteRef/>
      </w:r>
      <w:r w:rsidRPr="0097161D">
        <w:rPr>
          <w:rFonts w:ascii="Palatino Linotype" w:hAnsi="Palatino Linotype"/>
        </w:rPr>
        <w:t xml:space="preserve"> </w:t>
      </w:r>
      <w:r w:rsidRPr="0097161D">
        <w:rPr>
          <w:rFonts w:ascii="Palatino Linotype" w:hAnsi="Palatino Linotype"/>
          <w:lang w:val="en-US"/>
        </w:rPr>
        <w:t>These can be found at &lt;http://www.destinationlebanon.gov.lb/eng&gt;</w:t>
      </w:r>
      <w:r>
        <w:rPr>
          <w:rFonts w:ascii="Palatino Linotype" w:hAnsi="Palatino Linotype"/>
          <w:lang w:val="en-US"/>
        </w:rPr>
        <w:t xml:space="preserve"> (</w:t>
      </w:r>
      <w:r w:rsidRPr="0097161D">
        <w:rPr>
          <w:rFonts w:ascii="Palatino Linotype" w:hAnsi="Palatino Linotype"/>
          <w:lang w:val="en-US"/>
        </w:rPr>
        <w:t xml:space="preserve">accessed on 11 May 2008). </w:t>
      </w:r>
    </w:p>
  </w:footnote>
  <w:footnote w:id="86">
    <w:p w:rsidR="00A15CD3" w:rsidRPr="0064083B" w:rsidRDefault="00A15CD3" w:rsidP="001761FF">
      <w:pPr>
        <w:pStyle w:val="FootnoteText"/>
        <w:ind w:left="90" w:hanging="90"/>
        <w:jc w:val="both"/>
        <w:rPr>
          <w:rFonts w:ascii="Palatino Linotype" w:hAnsi="Palatino Linotype"/>
          <w:lang w:val="en-US"/>
        </w:rPr>
      </w:pPr>
      <w:r w:rsidRPr="0064083B">
        <w:rPr>
          <w:rStyle w:val="FootnoteReference"/>
          <w:rFonts w:ascii="Palatino Linotype" w:hAnsi="Palatino Linotype"/>
        </w:rPr>
        <w:footnoteRef/>
      </w:r>
      <w:r w:rsidRPr="0064083B">
        <w:rPr>
          <w:rFonts w:ascii="Palatino Linotype" w:hAnsi="Palatino Linotype"/>
        </w:rPr>
        <w:t xml:space="preserve"> </w:t>
      </w:r>
      <w:r w:rsidRPr="0064083B">
        <w:rPr>
          <w:rFonts w:ascii="Palatino Linotype" w:hAnsi="Palatino Linotype"/>
          <w:lang w:val="en-US"/>
        </w:rPr>
        <w:t xml:space="preserve">While these changes compound the ‘silencing’ of women within the historical record, my difficulties at following </w:t>
      </w:r>
      <w:r>
        <w:rPr>
          <w:rFonts w:ascii="Palatino Linotype" w:hAnsi="Palatino Linotype"/>
          <w:lang w:val="en-US"/>
        </w:rPr>
        <w:t>such</w:t>
      </w:r>
      <w:r w:rsidRPr="0064083B">
        <w:rPr>
          <w:rFonts w:ascii="Palatino Linotype" w:hAnsi="Palatino Linotype"/>
          <w:lang w:val="en-US"/>
        </w:rPr>
        <w:t xml:space="preserve"> names changes </w:t>
      </w:r>
      <w:r>
        <w:rPr>
          <w:rFonts w:ascii="Palatino Linotype" w:hAnsi="Palatino Linotype"/>
          <w:lang w:val="en-US"/>
        </w:rPr>
        <w:t>pertained to both</w:t>
      </w:r>
      <w:r w:rsidRPr="0064083B">
        <w:rPr>
          <w:rFonts w:ascii="Palatino Linotype" w:hAnsi="Palatino Linotype"/>
          <w:lang w:val="en-US"/>
        </w:rPr>
        <w:t xml:space="preserve"> Syrian men and women,</w:t>
      </w:r>
      <w:r>
        <w:rPr>
          <w:rFonts w:ascii="Palatino Linotype" w:hAnsi="Palatino Linotype"/>
          <w:lang w:val="en-US"/>
        </w:rPr>
        <w:t xml:space="preserve"> which </w:t>
      </w:r>
      <w:r w:rsidRPr="0064083B">
        <w:rPr>
          <w:rFonts w:ascii="Palatino Linotype" w:hAnsi="Palatino Linotype"/>
          <w:lang w:val="en-US"/>
        </w:rPr>
        <w:t>reveals a race</w:t>
      </w:r>
      <w:r>
        <w:rPr>
          <w:rFonts w:ascii="Palatino Linotype" w:hAnsi="Palatino Linotype"/>
          <w:lang w:val="en-US"/>
        </w:rPr>
        <w:t>-</w:t>
      </w:r>
      <w:r w:rsidRPr="0064083B">
        <w:rPr>
          <w:rFonts w:ascii="Palatino Linotype" w:hAnsi="Palatino Linotype"/>
          <w:lang w:val="en-US"/>
        </w:rPr>
        <w:t>based hurdle</w:t>
      </w:r>
      <w:r>
        <w:rPr>
          <w:rFonts w:ascii="Palatino Linotype" w:hAnsi="Palatino Linotype"/>
          <w:lang w:val="en-US"/>
        </w:rPr>
        <w:t xml:space="preserve"> within the ABCFM sources</w:t>
      </w:r>
      <w:r w:rsidRPr="0064083B">
        <w:rPr>
          <w:rFonts w:ascii="Palatino Linotype" w:hAnsi="Palatino Linotype"/>
          <w:lang w:val="en-US"/>
        </w:rPr>
        <w:t>.</w:t>
      </w:r>
    </w:p>
  </w:footnote>
  <w:footnote w:id="87">
    <w:p w:rsidR="00A15CD3" w:rsidRPr="0097161D" w:rsidRDefault="00A15CD3" w:rsidP="001761FF">
      <w:pPr>
        <w:pStyle w:val="FootnoteText"/>
        <w:ind w:left="90" w:hanging="90"/>
        <w:jc w:val="both"/>
        <w:rPr>
          <w:rFonts w:ascii="Palatino Linotype" w:hAnsi="Palatino Linotype"/>
          <w:lang w:val="en-US"/>
        </w:rPr>
      </w:pPr>
      <w:r w:rsidRPr="0097161D">
        <w:rPr>
          <w:rStyle w:val="FootnoteReference"/>
          <w:rFonts w:ascii="Palatino Linotype" w:hAnsi="Palatino Linotype"/>
        </w:rPr>
        <w:footnoteRef/>
      </w:r>
      <w:r w:rsidRPr="0097161D">
        <w:rPr>
          <w:rFonts w:ascii="Palatino Linotype" w:hAnsi="Palatino Linotype"/>
        </w:rPr>
        <w:t xml:space="preserve"> </w:t>
      </w:r>
      <w:r w:rsidRPr="0097161D">
        <w:rPr>
          <w:rFonts w:ascii="Palatino Linotype" w:hAnsi="Palatino Linotype"/>
          <w:lang w:val="en-US"/>
        </w:rPr>
        <w:t xml:space="preserve">The Aleppo station was transferred from the Syrian Station to the Western Asia Mission to reflect its primary focus on the Armenian population. </w:t>
      </w:r>
      <w:r w:rsidRPr="0097161D">
        <w:rPr>
          <w:rFonts w:ascii="Palatino Linotype" w:hAnsi="Palatino Linotype"/>
          <w:i/>
          <w:lang w:val="en-US"/>
        </w:rPr>
        <w:t>MSM</w:t>
      </w:r>
      <w:r w:rsidRPr="0097161D">
        <w:rPr>
          <w:rFonts w:ascii="Palatino Linotype" w:hAnsi="Palatino Linotype"/>
          <w:lang w:val="en-US"/>
        </w:rPr>
        <w:t xml:space="preserve">: 16; </w:t>
      </w:r>
      <w:r w:rsidRPr="0097161D">
        <w:rPr>
          <w:rFonts w:ascii="Palatino Linotype" w:hAnsi="Palatino Linotype"/>
          <w:i/>
          <w:lang w:val="en-US"/>
        </w:rPr>
        <w:t xml:space="preserve">MH </w:t>
      </w:r>
      <w:r w:rsidRPr="0097161D">
        <w:rPr>
          <w:rFonts w:ascii="Palatino Linotype" w:hAnsi="Palatino Linotype"/>
          <w:lang w:val="en-US"/>
        </w:rPr>
        <w:t>(1856): 5.</w:t>
      </w:r>
    </w:p>
  </w:footnote>
  <w:footnote w:id="88">
    <w:p w:rsidR="00A15CD3" w:rsidRPr="0097161D" w:rsidRDefault="00A15CD3" w:rsidP="001761FF">
      <w:pPr>
        <w:pStyle w:val="FootnoteText"/>
        <w:ind w:left="90" w:hanging="90"/>
        <w:jc w:val="both"/>
        <w:rPr>
          <w:rFonts w:ascii="Palatino Linotype" w:hAnsi="Palatino Linotype"/>
        </w:rPr>
      </w:pPr>
      <w:r w:rsidRPr="0097161D">
        <w:rPr>
          <w:rStyle w:val="FootnoteReference"/>
          <w:rFonts w:ascii="Palatino Linotype" w:hAnsi="Palatino Linotype"/>
        </w:rPr>
        <w:footnoteRef/>
      </w:r>
      <w:r w:rsidRPr="0097161D">
        <w:rPr>
          <w:rFonts w:ascii="Palatino Linotype" w:hAnsi="Palatino Linotype"/>
        </w:rPr>
        <w:t xml:space="preserve"> </w:t>
      </w:r>
      <w:r w:rsidRPr="0097161D">
        <w:rPr>
          <w:rFonts w:ascii="Palatino Linotype" w:hAnsi="Palatino Linotype"/>
          <w:lang w:val="en-US"/>
        </w:rPr>
        <w:t xml:space="preserve">For a review of how the term </w:t>
      </w:r>
      <w:r w:rsidRPr="00FF2F6C">
        <w:rPr>
          <w:rFonts w:ascii="Palatino Linotype" w:hAnsi="Palatino Linotype"/>
          <w:i/>
          <w:lang w:val="en-US"/>
        </w:rPr>
        <w:t xml:space="preserve">Bilād al-Shām </w:t>
      </w:r>
      <w:r w:rsidRPr="0097161D">
        <w:rPr>
          <w:rFonts w:ascii="Palatino Linotype" w:hAnsi="Palatino Linotype"/>
          <w:lang w:val="en-US"/>
        </w:rPr>
        <w:t xml:space="preserve">evolved during the eighteenth to early twentieth centuries see </w:t>
      </w:r>
      <w:r w:rsidRPr="0097161D">
        <w:rPr>
          <w:rFonts w:ascii="Palatino Linotype" w:hAnsi="Palatino Linotype"/>
        </w:rPr>
        <w:t>Philipp, ‘Identities and Loyalties in Bilad al-Sham’: 9-26.</w:t>
      </w:r>
    </w:p>
  </w:footnote>
  <w:footnote w:id="89">
    <w:p w:rsidR="00A15CD3" w:rsidRPr="0097161D" w:rsidRDefault="00A15CD3" w:rsidP="001761FF">
      <w:pPr>
        <w:pStyle w:val="FootnoteText"/>
        <w:ind w:left="90" w:hanging="90"/>
        <w:jc w:val="both"/>
        <w:rPr>
          <w:rFonts w:ascii="Palatino Linotype" w:hAnsi="Palatino Linotype"/>
        </w:rPr>
      </w:pPr>
      <w:r w:rsidRPr="0097161D">
        <w:rPr>
          <w:rStyle w:val="FootnoteReference"/>
          <w:rFonts w:ascii="Palatino Linotype" w:hAnsi="Palatino Linotype"/>
        </w:rPr>
        <w:footnoteRef/>
      </w:r>
      <w:r w:rsidRPr="0097161D">
        <w:rPr>
          <w:rFonts w:ascii="Palatino Linotype" w:hAnsi="Palatino Linotype"/>
        </w:rPr>
        <w:t>Zach argues that the ABCFM missionaries</w:t>
      </w:r>
      <w:r>
        <w:rPr>
          <w:rFonts w:ascii="Palatino Linotype" w:hAnsi="Palatino Linotype"/>
        </w:rPr>
        <w:t>’</w:t>
      </w:r>
      <w:r w:rsidRPr="0097161D">
        <w:rPr>
          <w:rFonts w:ascii="Palatino Linotype" w:hAnsi="Palatino Linotype"/>
        </w:rPr>
        <w:t xml:space="preserve"> use of Syria reflects their desire to create a ‘New Syria’ which was ‘exclusive of Islam’. Zachs, </w:t>
      </w:r>
      <w:r w:rsidRPr="0097161D">
        <w:rPr>
          <w:rFonts w:ascii="Palatino Linotype" w:hAnsi="Palatino Linotype"/>
          <w:i/>
        </w:rPr>
        <w:t>The Making of a Syrian Identity</w:t>
      </w:r>
      <w:r w:rsidRPr="0097161D">
        <w:rPr>
          <w:rFonts w:ascii="Palatino Linotype" w:hAnsi="Palatino Linotype"/>
        </w:rPr>
        <w:t xml:space="preserve">: 133-134.  Also see </w:t>
      </w:r>
      <w:r w:rsidRPr="0097161D">
        <w:rPr>
          <w:rFonts w:ascii="Palatino Linotype" w:hAnsi="Palatino Linotype"/>
          <w:lang w:val="en-US"/>
        </w:rPr>
        <w:t xml:space="preserve">Adnan Abu-Ghazaleh, </w:t>
      </w:r>
      <w:r w:rsidRPr="0097161D">
        <w:rPr>
          <w:rFonts w:ascii="Palatino Linotype" w:hAnsi="Palatino Linotype"/>
          <w:i/>
          <w:lang w:val="en-US"/>
        </w:rPr>
        <w:t>American Missions in Syria: A Study of American Missionary Contributions to Arab Nationalism in 19th Century Syria</w:t>
      </w:r>
      <w:r>
        <w:rPr>
          <w:rFonts w:ascii="Palatino Linotype" w:hAnsi="Palatino Linotype"/>
          <w:lang w:val="en-US"/>
        </w:rPr>
        <w:t xml:space="preserve"> (</w:t>
      </w:r>
      <w:r w:rsidRPr="0097161D">
        <w:rPr>
          <w:rFonts w:ascii="Palatino Linotype" w:hAnsi="Palatino Linotype"/>
          <w:lang w:val="en-US"/>
        </w:rPr>
        <w:t xml:space="preserve">Brattleboro, VT.: Amana Books., 1990); </w:t>
      </w:r>
      <w:r w:rsidRPr="0097161D">
        <w:rPr>
          <w:rFonts w:ascii="Palatino Linotype" w:hAnsi="Palatino Linotype"/>
        </w:rPr>
        <w:t>Fleischmann, ‘Evangelization or Education’</w:t>
      </w:r>
      <w:r w:rsidRPr="0097161D">
        <w:rPr>
          <w:rFonts w:ascii="Palatino Linotype" w:hAnsi="Palatino Linotype"/>
          <w:lang w:val="en-US"/>
        </w:rPr>
        <w:t xml:space="preserve">: </w:t>
      </w:r>
      <w:r w:rsidRPr="0097161D">
        <w:rPr>
          <w:rFonts w:ascii="Palatino Linotype" w:hAnsi="Palatino Linotype"/>
        </w:rPr>
        <w:t xml:space="preserve">264; Mahmoud Haddad, ‘Syrian Muslims’ Attitudes Toward Foreign Missionaries in the Late Nineteenth and Twentieth Centuries’, in: Tejirian and Simon, </w:t>
      </w:r>
      <w:r w:rsidRPr="005C7E76">
        <w:rPr>
          <w:rFonts w:ascii="Palatino Linotype" w:hAnsi="Palatino Linotype"/>
          <w:i/>
        </w:rPr>
        <w:t>AI</w:t>
      </w:r>
      <w:r w:rsidRPr="0097161D">
        <w:rPr>
          <w:rFonts w:ascii="Palatino Linotype" w:hAnsi="Palatino Linotype"/>
        </w:rPr>
        <w:t>: 253-274.</w:t>
      </w:r>
    </w:p>
  </w:footnote>
  <w:footnote w:id="90">
    <w:p w:rsidR="00A15CD3" w:rsidRPr="0097161D" w:rsidRDefault="00A15CD3" w:rsidP="001761FF">
      <w:pPr>
        <w:pStyle w:val="FootnoteText"/>
        <w:ind w:left="90" w:hanging="90"/>
        <w:jc w:val="both"/>
        <w:rPr>
          <w:rFonts w:ascii="Palatino Linotype" w:hAnsi="Palatino Linotype"/>
          <w:lang w:val="en-US"/>
        </w:rPr>
      </w:pPr>
      <w:r w:rsidRPr="0097161D">
        <w:rPr>
          <w:rStyle w:val="FootnoteReference"/>
          <w:rFonts w:ascii="Palatino Linotype" w:hAnsi="Palatino Linotype"/>
        </w:rPr>
        <w:footnoteRef/>
      </w:r>
      <w:r w:rsidRPr="0097161D">
        <w:rPr>
          <w:rFonts w:ascii="Palatino Linotype" w:hAnsi="Palatino Linotype"/>
        </w:rPr>
        <w:t xml:space="preserve"> Tibawi, </w:t>
      </w:r>
      <w:r w:rsidRPr="0097161D">
        <w:rPr>
          <w:rFonts w:ascii="Palatino Linotype" w:hAnsi="Palatino Linotype"/>
          <w:i/>
        </w:rPr>
        <w:t>British Interests in Palestine</w:t>
      </w:r>
      <w:r w:rsidRPr="0097161D">
        <w:rPr>
          <w:rFonts w:ascii="Palatino Linotype" w:hAnsi="Palatino Linotype"/>
        </w:rPr>
        <w:t>: 10.</w:t>
      </w:r>
    </w:p>
  </w:footnote>
  <w:footnote w:id="91">
    <w:p w:rsidR="00A15CD3" w:rsidRPr="0097161D" w:rsidRDefault="00A15CD3" w:rsidP="001761FF">
      <w:pPr>
        <w:pStyle w:val="FootnoteText"/>
        <w:ind w:left="90" w:hanging="90"/>
        <w:jc w:val="both"/>
        <w:rPr>
          <w:rFonts w:ascii="Palatino Linotype" w:hAnsi="Palatino Linotype"/>
          <w:lang w:val="en-US"/>
        </w:rPr>
      </w:pPr>
      <w:r w:rsidRPr="0097161D">
        <w:rPr>
          <w:rStyle w:val="FootnoteReference"/>
          <w:rFonts w:ascii="Palatino Linotype" w:hAnsi="Palatino Linotype"/>
        </w:rPr>
        <w:footnoteRef/>
      </w:r>
      <w:r w:rsidRPr="0097161D">
        <w:rPr>
          <w:rFonts w:ascii="Palatino Linotype" w:hAnsi="Palatino Linotype"/>
        </w:rPr>
        <w:t xml:space="preserve"> </w:t>
      </w:r>
      <w:r w:rsidRPr="0097161D">
        <w:rPr>
          <w:rFonts w:ascii="Palatino Linotype" w:hAnsi="Palatino Linotype"/>
          <w:lang w:val="en-US"/>
        </w:rPr>
        <w:t>Abdul-Rahim</w:t>
      </w:r>
      <w:r w:rsidRPr="0097161D">
        <w:rPr>
          <w:rFonts w:ascii="Palatino Linotype" w:hAnsi="Palatino Linotype"/>
          <w:szCs w:val="24"/>
          <w:lang w:val="en-US"/>
        </w:rPr>
        <w:t xml:space="preserve"> </w:t>
      </w:r>
      <w:r w:rsidRPr="0097161D">
        <w:rPr>
          <w:rFonts w:ascii="Palatino Linotype" w:hAnsi="Palatino Linotype"/>
          <w:lang w:val="en-US"/>
        </w:rPr>
        <w:t xml:space="preserve">Abu-Husayne, ‘The “Lebanon Schools” (1853-1873): A Local Venture in Rural Education’, in: T. </w:t>
      </w:r>
      <w:r w:rsidRPr="0097161D">
        <w:rPr>
          <w:rFonts w:ascii="Palatino Linotype" w:hAnsi="Palatino Linotype"/>
        </w:rPr>
        <w:t>Phillip and B. Schaebler</w:t>
      </w:r>
      <w:r>
        <w:rPr>
          <w:rFonts w:ascii="Palatino Linotype" w:hAnsi="Palatino Linotype"/>
        </w:rPr>
        <w:t>, (ed</w:t>
      </w:r>
      <w:r w:rsidRPr="0097161D">
        <w:rPr>
          <w:rFonts w:ascii="Palatino Linotype" w:hAnsi="Palatino Linotype"/>
        </w:rPr>
        <w:t xml:space="preserve">s.), </w:t>
      </w:r>
      <w:r w:rsidRPr="0097161D">
        <w:rPr>
          <w:rFonts w:ascii="Palatino Linotype" w:hAnsi="Palatino Linotype"/>
          <w:i/>
        </w:rPr>
        <w:t>The Syrian Land: Process of Integration and Fragmentation: Bilad Al-Sham From the 18th to the 20th Century</w:t>
      </w:r>
      <w:r>
        <w:rPr>
          <w:rFonts w:ascii="Palatino Linotype" w:hAnsi="Palatino Linotype"/>
          <w:i/>
        </w:rPr>
        <w:t xml:space="preserve"> </w:t>
      </w:r>
      <w:r w:rsidRPr="00A56C16">
        <w:rPr>
          <w:rFonts w:ascii="Palatino Linotype" w:hAnsi="Palatino Linotype"/>
        </w:rPr>
        <w:t>(</w:t>
      </w:r>
      <w:r w:rsidRPr="0097161D">
        <w:rPr>
          <w:rFonts w:ascii="Palatino Linotype" w:hAnsi="Palatino Linotype"/>
        </w:rPr>
        <w:t>Stuttgart: Franz Steiner Verlag, 1998): 205-220.</w:t>
      </w:r>
    </w:p>
  </w:footnote>
  <w:footnote w:id="92">
    <w:p w:rsidR="00A15CD3" w:rsidRPr="00B94099" w:rsidRDefault="00A15CD3" w:rsidP="001761FF">
      <w:pPr>
        <w:pStyle w:val="FootnoteText"/>
        <w:ind w:left="90" w:hanging="90"/>
        <w:jc w:val="both"/>
        <w:rPr>
          <w:rFonts w:ascii="Palatino Linotype" w:hAnsi="Palatino Linotype"/>
          <w:lang w:val="en-US"/>
        </w:rPr>
      </w:pPr>
      <w:r w:rsidRPr="00B94099">
        <w:rPr>
          <w:rStyle w:val="FootnoteReference"/>
          <w:rFonts w:ascii="Palatino Linotype" w:hAnsi="Palatino Linotype"/>
        </w:rPr>
        <w:footnoteRef/>
      </w:r>
      <w:r w:rsidRPr="00B94099">
        <w:rPr>
          <w:rFonts w:ascii="Palatino Linotype" w:hAnsi="Palatino Linotype"/>
        </w:rPr>
        <w:t xml:space="preserve"> Philipp traces the history of </w:t>
      </w:r>
      <w:r>
        <w:rPr>
          <w:rFonts w:ascii="Palatino Linotype" w:hAnsi="Palatino Linotype"/>
        </w:rPr>
        <w:t xml:space="preserve">the terms </w:t>
      </w:r>
      <w:r w:rsidRPr="00FF2F6C">
        <w:rPr>
          <w:rFonts w:ascii="Palatino Linotype" w:hAnsi="Palatino Linotype"/>
          <w:i/>
        </w:rPr>
        <w:t xml:space="preserve">Bilād al-Shām </w:t>
      </w:r>
      <w:r w:rsidRPr="00B94099">
        <w:rPr>
          <w:rFonts w:ascii="Palatino Linotype" w:hAnsi="Palatino Linotype"/>
        </w:rPr>
        <w:t xml:space="preserve">and </w:t>
      </w:r>
      <w:r w:rsidRPr="00E12441">
        <w:rPr>
          <w:rFonts w:ascii="Palatino Linotype" w:hAnsi="Palatino Linotype"/>
          <w:i/>
        </w:rPr>
        <w:t>S</w:t>
      </w:r>
      <w:r>
        <w:rPr>
          <w:rFonts w:ascii="Palatino Linotype" w:hAnsi="Palatino Linotype"/>
          <w:i/>
        </w:rPr>
        <w:t>ū</w:t>
      </w:r>
      <w:r w:rsidRPr="00E12441">
        <w:rPr>
          <w:rFonts w:ascii="Palatino Linotype" w:hAnsi="Palatino Linotype"/>
          <w:i/>
        </w:rPr>
        <w:t>riyya</w:t>
      </w:r>
      <w:r w:rsidRPr="00B94099">
        <w:rPr>
          <w:rFonts w:ascii="Palatino Linotype" w:hAnsi="Palatino Linotype"/>
        </w:rPr>
        <w:t xml:space="preserve"> in his ‘Identities and Loyalties in Bilad al-Sham’: 19-26.</w:t>
      </w:r>
    </w:p>
  </w:footnote>
  <w:footnote w:id="93">
    <w:p w:rsidR="00A15CD3" w:rsidRPr="0097161D" w:rsidRDefault="00A15CD3" w:rsidP="001761FF">
      <w:pPr>
        <w:pStyle w:val="FootnoteText"/>
        <w:ind w:left="90" w:hanging="90"/>
        <w:jc w:val="both"/>
        <w:rPr>
          <w:rFonts w:ascii="Palatino Linotype" w:hAnsi="Palatino Linotype"/>
        </w:rPr>
      </w:pPr>
      <w:r w:rsidRPr="0097161D">
        <w:rPr>
          <w:rStyle w:val="FootnoteReference"/>
          <w:rFonts w:ascii="Palatino Linotype" w:hAnsi="Palatino Linotype"/>
        </w:rPr>
        <w:footnoteRef/>
      </w:r>
      <w:r w:rsidRPr="0097161D">
        <w:rPr>
          <w:rFonts w:ascii="Palatino Linotype" w:hAnsi="Palatino Linotype"/>
        </w:rPr>
        <w:t xml:space="preserve"> Wortabet, </w:t>
      </w:r>
      <w:r>
        <w:rPr>
          <w:rFonts w:ascii="Palatino Linotype" w:hAnsi="Palatino Linotype"/>
          <w:i/>
        </w:rPr>
        <w:t>SS</w:t>
      </w:r>
      <w:r w:rsidRPr="0097161D">
        <w:rPr>
          <w:rFonts w:ascii="Palatino Linotype" w:hAnsi="Palatino Linotype"/>
          <w:i/>
        </w:rPr>
        <w:t>;</w:t>
      </w:r>
      <w:r w:rsidRPr="0097161D">
        <w:rPr>
          <w:rFonts w:ascii="Palatino Linotype" w:hAnsi="Palatino Linotype"/>
        </w:rPr>
        <w:t xml:space="preserve"> Wortabet, </w:t>
      </w:r>
      <w:r>
        <w:rPr>
          <w:rFonts w:ascii="Palatino Linotype" w:hAnsi="Palatino Linotype"/>
          <w:i/>
        </w:rPr>
        <w:t>RRS</w:t>
      </w:r>
      <w:r w:rsidRPr="0097161D">
        <w:rPr>
          <w:rFonts w:ascii="Palatino Linotype" w:hAnsi="Palatino Linotype"/>
        </w:rPr>
        <w:t xml:space="preserve">; </w:t>
      </w:r>
      <w:r w:rsidRPr="0097161D">
        <w:rPr>
          <w:rFonts w:ascii="Palatino Linotype" w:hAnsi="Palatino Linotype"/>
          <w:lang w:val="en-US"/>
        </w:rPr>
        <w:t>Sheehi, ‘Inscribing the Arab Self’: 7-24.</w:t>
      </w:r>
    </w:p>
  </w:footnote>
  <w:footnote w:id="94">
    <w:p w:rsidR="00A15CD3" w:rsidRPr="0097161D" w:rsidRDefault="00A15CD3" w:rsidP="001761FF">
      <w:pPr>
        <w:pStyle w:val="FootnoteText"/>
        <w:ind w:left="90" w:hanging="90"/>
        <w:jc w:val="both"/>
        <w:rPr>
          <w:rFonts w:ascii="Palatino Linotype" w:hAnsi="Palatino Linotype"/>
        </w:rPr>
      </w:pPr>
      <w:r w:rsidRPr="0097161D">
        <w:rPr>
          <w:rStyle w:val="FootnoteReference"/>
          <w:rFonts w:ascii="Palatino Linotype" w:hAnsi="Palatino Linotype"/>
        </w:rPr>
        <w:footnoteRef/>
      </w:r>
      <w:r w:rsidRPr="0097161D">
        <w:rPr>
          <w:rFonts w:ascii="Palatino Linotype" w:hAnsi="Palatino Linotype"/>
        </w:rPr>
        <w:t xml:space="preserve"> </w:t>
      </w:r>
      <w:r w:rsidRPr="0097161D">
        <w:rPr>
          <w:rFonts w:ascii="Palatino Linotype" w:hAnsi="Palatino Linotype"/>
          <w:lang w:val="en-US"/>
        </w:rPr>
        <w:t xml:space="preserve">ABCFM, </w:t>
      </w:r>
      <w:r w:rsidRPr="0097161D">
        <w:rPr>
          <w:rFonts w:ascii="Palatino Linotype" w:hAnsi="Palatino Linotype"/>
          <w:i/>
          <w:lang w:val="en-US"/>
        </w:rPr>
        <w:t>Annual Review</w:t>
      </w:r>
      <w:r>
        <w:rPr>
          <w:rFonts w:ascii="Palatino Linotype" w:hAnsi="Palatino Linotype"/>
          <w:i/>
          <w:lang w:val="en-US"/>
        </w:rPr>
        <w:t xml:space="preserve"> (</w:t>
      </w:r>
      <w:r w:rsidRPr="0097161D">
        <w:rPr>
          <w:rFonts w:ascii="Palatino Linotype" w:hAnsi="Palatino Linotype"/>
          <w:lang w:val="en-US"/>
        </w:rPr>
        <w:t xml:space="preserve">Beirut: 1842); </w:t>
      </w:r>
      <w:r w:rsidRPr="0097161D">
        <w:rPr>
          <w:rFonts w:ascii="Palatino Linotype" w:hAnsi="Palatino Linotype"/>
        </w:rPr>
        <w:t>William M. Thomson and George</w:t>
      </w:r>
      <w:r>
        <w:rPr>
          <w:rFonts w:ascii="Palatino Linotype" w:hAnsi="Palatino Linotype"/>
        </w:rPr>
        <w:t xml:space="preserve"> Whiting, ‘Report on the Field’</w:t>
      </w:r>
      <w:r w:rsidRPr="0097161D">
        <w:rPr>
          <w:rFonts w:ascii="Palatino Linotype" w:hAnsi="Palatino Linotype"/>
        </w:rPr>
        <w:t xml:space="preserve">  (n.s., 8 April 1844) ABCFM microfilm Reel 538: 50A-52B.</w:t>
      </w:r>
    </w:p>
  </w:footnote>
  <w:footnote w:id="95">
    <w:p w:rsidR="00A15CD3" w:rsidRPr="0097161D" w:rsidRDefault="00A15CD3" w:rsidP="001761FF">
      <w:pPr>
        <w:pStyle w:val="FootnoteText"/>
        <w:ind w:left="90" w:hanging="90"/>
        <w:jc w:val="both"/>
        <w:rPr>
          <w:rFonts w:ascii="Palatino Linotype" w:hAnsi="Palatino Linotype"/>
        </w:rPr>
      </w:pPr>
      <w:r w:rsidRPr="0097161D">
        <w:rPr>
          <w:rStyle w:val="FootnoteReference"/>
          <w:rFonts w:ascii="Palatino Linotype" w:hAnsi="Palatino Linotype"/>
        </w:rPr>
        <w:footnoteRef/>
      </w:r>
      <w:r w:rsidRPr="0097161D">
        <w:rPr>
          <w:rFonts w:ascii="Palatino Linotype" w:hAnsi="Palatino Linotype"/>
        </w:rPr>
        <w:t xml:space="preserve"> Elias R. Beadle, ‘Journal of Tour to Aleppo’</w:t>
      </w:r>
      <w:r>
        <w:rPr>
          <w:rFonts w:ascii="Palatino Linotype" w:hAnsi="Palatino Linotype"/>
        </w:rPr>
        <w:t xml:space="preserve"> (</w:t>
      </w:r>
      <w:r w:rsidRPr="0097161D">
        <w:rPr>
          <w:rFonts w:ascii="Palatino Linotype" w:hAnsi="Palatino Linotype"/>
        </w:rPr>
        <w:t xml:space="preserve">Syria, n.d.): </w:t>
      </w:r>
      <w:r w:rsidRPr="0097161D">
        <w:rPr>
          <w:rFonts w:ascii="Palatino Linotype" w:hAnsi="Palatino Linotype"/>
          <w:lang w:val="en-US"/>
        </w:rPr>
        <w:t xml:space="preserve">ABCFM microfilm Unit 5: Near East: </w:t>
      </w:r>
      <w:r w:rsidRPr="0097161D">
        <w:rPr>
          <w:rFonts w:ascii="Palatino Linotype" w:hAnsi="Palatino Linotype"/>
        </w:rPr>
        <w:t xml:space="preserve">Reel 539: 217-241.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24669CE"/>
    <w:multiLevelType w:val="hybridMultilevel"/>
    <w:tmpl w:val="BCA0C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E2E3567"/>
    <w:multiLevelType w:val="multilevel"/>
    <w:tmpl w:val="D93E9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80C392B"/>
    <w:multiLevelType w:val="hybridMultilevel"/>
    <w:tmpl w:val="D20CA59A"/>
    <w:lvl w:ilvl="0" w:tplc="42D662FC">
      <w:start w:val="1835"/>
      <w:numFmt w:val="bullet"/>
      <w:lvlText w:val=""/>
      <w:lvlJc w:val="left"/>
      <w:pPr>
        <w:tabs>
          <w:tab w:val="num" w:pos="420"/>
        </w:tabs>
        <w:ind w:left="420" w:hanging="360"/>
      </w:pPr>
      <w:rPr>
        <w:rFonts w:ascii="Symbol" w:eastAsia="Times New Roman" w:hAnsi="Symbol" w:cs="Times New Roman"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inkAnnotations="0"/>
  <w:doNotTrackMoves/>
  <w:defaultTabStop w:val="720"/>
  <w:characterSpacingControl w:val="doNotCompress"/>
  <w:footnotePr>
    <w:numRestart w:val="eachSec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E608A"/>
    <w:rsid w:val="00003BBB"/>
    <w:rsid w:val="00005D25"/>
    <w:rsid w:val="00014940"/>
    <w:rsid w:val="00015BBE"/>
    <w:rsid w:val="00017521"/>
    <w:rsid w:val="0002151E"/>
    <w:rsid w:val="000235F6"/>
    <w:rsid w:val="00023EDA"/>
    <w:rsid w:val="000241AB"/>
    <w:rsid w:val="0002550F"/>
    <w:rsid w:val="00031793"/>
    <w:rsid w:val="00031A18"/>
    <w:rsid w:val="000348D2"/>
    <w:rsid w:val="00034CB5"/>
    <w:rsid w:val="0003619C"/>
    <w:rsid w:val="00040A93"/>
    <w:rsid w:val="00040B5B"/>
    <w:rsid w:val="00043244"/>
    <w:rsid w:val="0004488A"/>
    <w:rsid w:val="000466C2"/>
    <w:rsid w:val="000604CF"/>
    <w:rsid w:val="00061380"/>
    <w:rsid w:val="000620E9"/>
    <w:rsid w:val="000622E8"/>
    <w:rsid w:val="00063F16"/>
    <w:rsid w:val="00064BE5"/>
    <w:rsid w:val="000673B3"/>
    <w:rsid w:val="000768E4"/>
    <w:rsid w:val="000817F2"/>
    <w:rsid w:val="00082FF2"/>
    <w:rsid w:val="00083A6B"/>
    <w:rsid w:val="00085508"/>
    <w:rsid w:val="00085845"/>
    <w:rsid w:val="00093877"/>
    <w:rsid w:val="000964EA"/>
    <w:rsid w:val="00097788"/>
    <w:rsid w:val="00097FD5"/>
    <w:rsid w:val="000A0982"/>
    <w:rsid w:val="000A0EB9"/>
    <w:rsid w:val="000A3456"/>
    <w:rsid w:val="000A5A8F"/>
    <w:rsid w:val="000A61D0"/>
    <w:rsid w:val="000A63AA"/>
    <w:rsid w:val="000B2B16"/>
    <w:rsid w:val="000B35BF"/>
    <w:rsid w:val="000B3698"/>
    <w:rsid w:val="000B587B"/>
    <w:rsid w:val="000C11F0"/>
    <w:rsid w:val="000C130E"/>
    <w:rsid w:val="000C2B5F"/>
    <w:rsid w:val="000C3918"/>
    <w:rsid w:val="000C3DE1"/>
    <w:rsid w:val="000C71A5"/>
    <w:rsid w:val="000D11FE"/>
    <w:rsid w:val="000D1FB6"/>
    <w:rsid w:val="000D2A41"/>
    <w:rsid w:val="000D2D2B"/>
    <w:rsid w:val="000D4E21"/>
    <w:rsid w:val="000E06D9"/>
    <w:rsid w:val="000E1043"/>
    <w:rsid w:val="000F3D6B"/>
    <w:rsid w:val="000F515D"/>
    <w:rsid w:val="000F65B4"/>
    <w:rsid w:val="000F74E8"/>
    <w:rsid w:val="00101FEE"/>
    <w:rsid w:val="00103134"/>
    <w:rsid w:val="001032F6"/>
    <w:rsid w:val="0010409D"/>
    <w:rsid w:val="00113405"/>
    <w:rsid w:val="00115EB9"/>
    <w:rsid w:val="0012274E"/>
    <w:rsid w:val="001267B6"/>
    <w:rsid w:val="00127ADC"/>
    <w:rsid w:val="00127E02"/>
    <w:rsid w:val="0013044B"/>
    <w:rsid w:val="00132323"/>
    <w:rsid w:val="00132AEA"/>
    <w:rsid w:val="00134529"/>
    <w:rsid w:val="001368B1"/>
    <w:rsid w:val="0013720F"/>
    <w:rsid w:val="00140ED0"/>
    <w:rsid w:val="00151A65"/>
    <w:rsid w:val="00152003"/>
    <w:rsid w:val="0015211B"/>
    <w:rsid w:val="00152A00"/>
    <w:rsid w:val="00164361"/>
    <w:rsid w:val="00164EF0"/>
    <w:rsid w:val="0016523E"/>
    <w:rsid w:val="00166F12"/>
    <w:rsid w:val="001704E7"/>
    <w:rsid w:val="00171EEC"/>
    <w:rsid w:val="00176A4B"/>
    <w:rsid w:val="00181EBA"/>
    <w:rsid w:val="00182ADB"/>
    <w:rsid w:val="001836CD"/>
    <w:rsid w:val="00183A16"/>
    <w:rsid w:val="00185EAF"/>
    <w:rsid w:val="001877E2"/>
    <w:rsid w:val="0019060D"/>
    <w:rsid w:val="00192E27"/>
    <w:rsid w:val="00194253"/>
    <w:rsid w:val="00197FBA"/>
    <w:rsid w:val="001A04E9"/>
    <w:rsid w:val="001A7B97"/>
    <w:rsid w:val="001B1C61"/>
    <w:rsid w:val="001B67FD"/>
    <w:rsid w:val="001C168B"/>
    <w:rsid w:val="001C2A31"/>
    <w:rsid w:val="001C3790"/>
    <w:rsid w:val="001C5438"/>
    <w:rsid w:val="001D0F62"/>
    <w:rsid w:val="001D3053"/>
    <w:rsid w:val="001D3E93"/>
    <w:rsid w:val="001D4948"/>
    <w:rsid w:val="001E2391"/>
    <w:rsid w:val="001E3C3B"/>
    <w:rsid w:val="001E418A"/>
    <w:rsid w:val="001E4361"/>
    <w:rsid w:val="001E5A77"/>
    <w:rsid w:val="001E7211"/>
    <w:rsid w:val="001F515B"/>
    <w:rsid w:val="001F5A52"/>
    <w:rsid w:val="001F675E"/>
    <w:rsid w:val="001F6EB1"/>
    <w:rsid w:val="001F73D5"/>
    <w:rsid w:val="00200F1C"/>
    <w:rsid w:val="00206C84"/>
    <w:rsid w:val="00207326"/>
    <w:rsid w:val="00214962"/>
    <w:rsid w:val="002203B8"/>
    <w:rsid w:val="00222969"/>
    <w:rsid w:val="00222D65"/>
    <w:rsid w:val="002231A7"/>
    <w:rsid w:val="002243B5"/>
    <w:rsid w:val="00224DD2"/>
    <w:rsid w:val="00226034"/>
    <w:rsid w:val="00230B66"/>
    <w:rsid w:val="00231387"/>
    <w:rsid w:val="0023257F"/>
    <w:rsid w:val="002327B0"/>
    <w:rsid w:val="00232809"/>
    <w:rsid w:val="00232C41"/>
    <w:rsid w:val="00242246"/>
    <w:rsid w:val="00243B7D"/>
    <w:rsid w:val="002440EA"/>
    <w:rsid w:val="00245926"/>
    <w:rsid w:val="00251621"/>
    <w:rsid w:val="00251946"/>
    <w:rsid w:val="00253E41"/>
    <w:rsid w:val="00254880"/>
    <w:rsid w:val="00256F98"/>
    <w:rsid w:val="0025799E"/>
    <w:rsid w:val="002621E7"/>
    <w:rsid w:val="002638F5"/>
    <w:rsid w:val="00263CD6"/>
    <w:rsid w:val="002677B7"/>
    <w:rsid w:val="00270E48"/>
    <w:rsid w:val="00274980"/>
    <w:rsid w:val="0027527F"/>
    <w:rsid w:val="00275989"/>
    <w:rsid w:val="00275C69"/>
    <w:rsid w:val="00276CF4"/>
    <w:rsid w:val="0027719C"/>
    <w:rsid w:val="00277E9D"/>
    <w:rsid w:val="00280BC6"/>
    <w:rsid w:val="00280CEB"/>
    <w:rsid w:val="00281DA6"/>
    <w:rsid w:val="002831B1"/>
    <w:rsid w:val="00284AE8"/>
    <w:rsid w:val="00285F58"/>
    <w:rsid w:val="0029133B"/>
    <w:rsid w:val="002936CD"/>
    <w:rsid w:val="002961BC"/>
    <w:rsid w:val="00297A2E"/>
    <w:rsid w:val="00297AD1"/>
    <w:rsid w:val="002A209C"/>
    <w:rsid w:val="002A2442"/>
    <w:rsid w:val="002A3D4F"/>
    <w:rsid w:val="002A43F2"/>
    <w:rsid w:val="002A572F"/>
    <w:rsid w:val="002A7A6B"/>
    <w:rsid w:val="002A7B33"/>
    <w:rsid w:val="002B0061"/>
    <w:rsid w:val="002B09E6"/>
    <w:rsid w:val="002B2773"/>
    <w:rsid w:val="002B3342"/>
    <w:rsid w:val="002B501F"/>
    <w:rsid w:val="002B62CB"/>
    <w:rsid w:val="002B646F"/>
    <w:rsid w:val="002C3524"/>
    <w:rsid w:val="002C6033"/>
    <w:rsid w:val="002D0E18"/>
    <w:rsid w:val="002D20CB"/>
    <w:rsid w:val="002D3632"/>
    <w:rsid w:val="002D578D"/>
    <w:rsid w:val="002D5FCE"/>
    <w:rsid w:val="002D6840"/>
    <w:rsid w:val="002D7BC2"/>
    <w:rsid w:val="002D7F44"/>
    <w:rsid w:val="002E2E37"/>
    <w:rsid w:val="002E5D3E"/>
    <w:rsid w:val="002E608A"/>
    <w:rsid w:val="002E708D"/>
    <w:rsid w:val="002E7CC7"/>
    <w:rsid w:val="002F3D1C"/>
    <w:rsid w:val="002F443A"/>
    <w:rsid w:val="002F4585"/>
    <w:rsid w:val="002F74EE"/>
    <w:rsid w:val="00303A22"/>
    <w:rsid w:val="00304707"/>
    <w:rsid w:val="003072DB"/>
    <w:rsid w:val="0030753F"/>
    <w:rsid w:val="003109B8"/>
    <w:rsid w:val="00312223"/>
    <w:rsid w:val="003156F8"/>
    <w:rsid w:val="003163F6"/>
    <w:rsid w:val="00317281"/>
    <w:rsid w:val="00317CAB"/>
    <w:rsid w:val="00317E7D"/>
    <w:rsid w:val="0032491A"/>
    <w:rsid w:val="0032679D"/>
    <w:rsid w:val="0033385F"/>
    <w:rsid w:val="0033644B"/>
    <w:rsid w:val="003375CA"/>
    <w:rsid w:val="00337FEF"/>
    <w:rsid w:val="00341B32"/>
    <w:rsid w:val="00341BC0"/>
    <w:rsid w:val="00341F83"/>
    <w:rsid w:val="00344560"/>
    <w:rsid w:val="00344931"/>
    <w:rsid w:val="0034711C"/>
    <w:rsid w:val="00347F01"/>
    <w:rsid w:val="003546CC"/>
    <w:rsid w:val="00357195"/>
    <w:rsid w:val="003571E3"/>
    <w:rsid w:val="00357D66"/>
    <w:rsid w:val="003634EE"/>
    <w:rsid w:val="00365BC2"/>
    <w:rsid w:val="00372DE7"/>
    <w:rsid w:val="00376DB2"/>
    <w:rsid w:val="00380186"/>
    <w:rsid w:val="00386094"/>
    <w:rsid w:val="003860D6"/>
    <w:rsid w:val="003868F7"/>
    <w:rsid w:val="003919E1"/>
    <w:rsid w:val="00391AE3"/>
    <w:rsid w:val="003960BA"/>
    <w:rsid w:val="003A0DC4"/>
    <w:rsid w:val="003A2FA5"/>
    <w:rsid w:val="003A347A"/>
    <w:rsid w:val="003B36DA"/>
    <w:rsid w:val="003B4E79"/>
    <w:rsid w:val="003B4F56"/>
    <w:rsid w:val="003B5A49"/>
    <w:rsid w:val="003B5F80"/>
    <w:rsid w:val="003B5FF2"/>
    <w:rsid w:val="003B7966"/>
    <w:rsid w:val="003C05C2"/>
    <w:rsid w:val="003C14D2"/>
    <w:rsid w:val="003C1E04"/>
    <w:rsid w:val="003C6AE1"/>
    <w:rsid w:val="003C7227"/>
    <w:rsid w:val="003D1CA0"/>
    <w:rsid w:val="003D5037"/>
    <w:rsid w:val="003D5F48"/>
    <w:rsid w:val="003D7149"/>
    <w:rsid w:val="003E1D23"/>
    <w:rsid w:val="003E482E"/>
    <w:rsid w:val="003E7884"/>
    <w:rsid w:val="003F18E5"/>
    <w:rsid w:val="003F1A95"/>
    <w:rsid w:val="003F2D93"/>
    <w:rsid w:val="003F3092"/>
    <w:rsid w:val="003F31E6"/>
    <w:rsid w:val="003F321C"/>
    <w:rsid w:val="003F3EDB"/>
    <w:rsid w:val="003F727B"/>
    <w:rsid w:val="003F7662"/>
    <w:rsid w:val="003F7670"/>
    <w:rsid w:val="00400A98"/>
    <w:rsid w:val="00400DA3"/>
    <w:rsid w:val="00402182"/>
    <w:rsid w:val="00411176"/>
    <w:rsid w:val="004119B6"/>
    <w:rsid w:val="00411D08"/>
    <w:rsid w:val="004155A0"/>
    <w:rsid w:val="00424D69"/>
    <w:rsid w:val="00425C9E"/>
    <w:rsid w:val="004278FD"/>
    <w:rsid w:val="0043423D"/>
    <w:rsid w:val="004349DD"/>
    <w:rsid w:val="004355E6"/>
    <w:rsid w:val="00436806"/>
    <w:rsid w:val="00437B90"/>
    <w:rsid w:val="0044294E"/>
    <w:rsid w:val="004439FC"/>
    <w:rsid w:val="00444B94"/>
    <w:rsid w:val="00445005"/>
    <w:rsid w:val="00447856"/>
    <w:rsid w:val="00452D58"/>
    <w:rsid w:val="00454DE9"/>
    <w:rsid w:val="004553AE"/>
    <w:rsid w:val="00456EC2"/>
    <w:rsid w:val="004604BB"/>
    <w:rsid w:val="004623E3"/>
    <w:rsid w:val="00462F80"/>
    <w:rsid w:val="00464AE2"/>
    <w:rsid w:val="00465FD0"/>
    <w:rsid w:val="004661F1"/>
    <w:rsid w:val="0046790E"/>
    <w:rsid w:val="00470B47"/>
    <w:rsid w:val="004713BA"/>
    <w:rsid w:val="0047213C"/>
    <w:rsid w:val="00477305"/>
    <w:rsid w:val="004852AC"/>
    <w:rsid w:val="00485C72"/>
    <w:rsid w:val="0048672A"/>
    <w:rsid w:val="004875CB"/>
    <w:rsid w:val="00491C7D"/>
    <w:rsid w:val="0049411C"/>
    <w:rsid w:val="00494CA7"/>
    <w:rsid w:val="00497E91"/>
    <w:rsid w:val="004A0499"/>
    <w:rsid w:val="004A062D"/>
    <w:rsid w:val="004A13D4"/>
    <w:rsid w:val="004A778A"/>
    <w:rsid w:val="004A7F8A"/>
    <w:rsid w:val="004B33E2"/>
    <w:rsid w:val="004B4AE9"/>
    <w:rsid w:val="004B525B"/>
    <w:rsid w:val="004B563F"/>
    <w:rsid w:val="004B633B"/>
    <w:rsid w:val="004B6630"/>
    <w:rsid w:val="004B7918"/>
    <w:rsid w:val="004C40A4"/>
    <w:rsid w:val="004C518E"/>
    <w:rsid w:val="004D1093"/>
    <w:rsid w:val="004D1443"/>
    <w:rsid w:val="004D201D"/>
    <w:rsid w:val="004D26B0"/>
    <w:rsid w:val="004D330D"/>
    <w:rsid w:val="004D70BE"/>
    <w:rsid w:val="004E3731"/>
    <w:rsid w:val="004E5AB8"/>
    <w:rsid w:val="004E6668"/>
    <w:rsid w:val="004F0672"/>
    <w:rsid w:val="004F6A05"/>
    <w:rsid w:val="00502DB2"/>
    <w:rsid w:val="005047A7"/>
    <w:rsid w:val="005051C6"/>
    <w:rsid w:val="00513044"/>
    <w:rsid w:val="00513075"/>
    <w:rsid w:val="005140EC"/>
    <w:rsid w:val="00520DF5"/>
    <w:rsid w:val="00521807"/>
    <w:rsid w:val="00523341"/>
    <w:rsid w:val="00526CF4"/>
    <w:rsid w:val="00530818"/>
    <w:rsid w:val="00530D23"/>
    <w:rsid w:val="0053233A"/>
    <w:rsid w:val="005324F9"/>
    <w:rsid w:val="00536265"/>
    <w:rsid w:val="00536714"/>
    <w:rsid w:val="00543679"/>
    <w:rsid w:val="00543FCD"/>
    <w:rsid w:val="00544C26"/>
    <w:rsid w:val="00544C2D"/>
    <w:rsid w:val="00551A4A"/>
    <w:rsid w:val="00553535"/>
    <w:rsid w:val="005548A2"/>
    <w:rsid w:val="00560917"/>
    <w:rsid w:val="0056196F"/>
    <w:rsid w:val="00563019"/>
    <w:rsid w:val="00567EBF"/>
    <w:rsid w:val="0057064B"/>
    <w:rsid w:val="005712E9"/>
    <w:rsid w:val="0058349D"/>
    <w:rsid w:val="005839E4"/>
    <w:rsid w:val="00584496"/>
    <w:rsid w:val="00585DB1"/>
    <w:rsid w:val="00593116"/>
    <w:rsid w:val="005975CD"/>
    <w:rsid w:val="005B4060"/>
    <w:rsid w:val="005B58EB"/>
    <w:rsid w:val="005B5B31"/>
    <w:rsid w:val="005C44C6"/>
    <w:rsid w:val="005C5706"/>
    <w:rsid w:val="005C60DD"/>
    <w:rsid w:val="005C788E"/>
    <w:rsid w:val="005C7E76"/>
    <w:rsid w:val="005D078B"/>
    <w:rsid w:val="005D5FFA"/>
    <w:rsid w:val="005D7423"/>
    <w:rsid w:val="005E1268"/>
    <w:rsid w:val="005E2167"/>
    <w:rsid w:val="005E5AEF"/>
    <w:rsid w:val="005E603F"/>
    <w:rsid w:val="005E7A2F"/>
    <w:rsid w:val="005F114E"/>
    <w:rsid w:val="005F4A04"/>
    <w:rsid w:val="005F680C"/>
    <w:rsid w:val="00600982"/>
    <w:rsid w:val="00604B6D"/>
    <w:rsid w:val="00604C2A"/>
    <w:rsid w:val="00605F5A"/>
    <w:rsid w:val="00607233"/>
    <w:rsid w:val="00612342"/>
    <w:rsid w:val="006152B2"/>
    <w:rsid w:val="00625156"/>
    <w:rsid w:val="00625525"/>
    <w:rsid w:val="00627C5F"/>
    <w:rsid w:val="006319F4"/>
    <w:rsid w:val="00632E25"/>
    <w:rsid w:val="0063327E"/>
    <w:rsid w:val="0063429C"/>
    <w:rsid w:val="0063583E"/>
    <w:rsid w:val="006373EC"/>
    <w:rsid w:val="00640510"/>
    <w:rsid w:val="0064083B"/>
    <w:rsid w:val="00642E79"/>
    <w:rsid w:val="00644297"/>
    <w:rsid w:val="00645277"/>
    <w:rsid w:val="00653521"/>
    <w:rsid w:val="00653E1F"/>
    <w:rsid w:val="00657765"/>
    <w:rsid w:val="00657F25"/>
    <w:rsid w:val="00663EDF"/>
    <w:rsid w:val="0066685A"/>
    <w:rsid w:val="006704DB"/>
    <w:rsid w:val="00670FC9"/>
    <w:rsid w:val="006720D3"/>
    <w:rsid w:val="006739B7"/>
    <w:rsid w:val="00676AE0"/>
    <w:rsid w:val="00677BA0"/>
    <w:rsid w:val="00677BCB"/>
    <w:rsid w:val="006812B8"/>
    <w:rsid w:val="00681F98"/>
    <w:rsid w:val="00684303"/>
    <w:rsid w:val="0068500C"/>
    <w:rsid w:val="00685548"/>
    <w:rsid w:val="006900E6"/>
    <w:rsid w:val="00690AFC"/>
    <w:rsid w:val="00690F2F"/>
    <w:rsid w:val="00695B61"/>
    <w:rsid w:val="006A1210"/>
    <w:rsid w:val="006A6684"/>
    <w:rsid w:val="006A7D21"/>
    <w:rsid w:val="006B07D4"/>
    <w:rsid w:val="006B23AF"/>
    <w:rsid w:val="006B2B0F"/>
    <w:rsid w:val="006B4260"/>
    <w:rsid w:val="006B47ED"/>
    <w:rsid w:val="006B5607"/>
    <w:rsid w:val="006B5B24"/>
    <w:rsid w:val="006B5B7E"/>
    <w:rsid w:val="006B6EB6"/>
    <w:rsid w:val="006C03D4"/>
    <w:rsid w:val="006C20EE"/>
    <w:rsid w:val="006C22B6"/>
    <w:rsid w:val="006C5176"/>
    <w:rsid w:val="006C7C8C"/>
    <w:rsid w:val="006D0860"/>
    <w:rsid w:val="006D2B3D"/>
    <w:rsid w:val="006D3A7A"/>
    <w:rsid w:val="006D47D0"/>
    <w:rsid w:val="006D537C"/>
    <w:rsid w:val="006D6166"/>
    <w:rsid w:val="006D6E29"/>
    <w:rsid w:val="006E0259"/>
    <w:rsid w:val="006E11AA"/>
    <w:rsid w:val="006E792C"/>
    <w:rsid w:val="006F1365"/>
    <w:rsid w:val="006F1C7A"/>
    <w:rsid w:val="006F1E9C"/>
    <w:rsid w:val="006F2C6B"/>
    <w:rsid w:val="006F444D"/>
    <w:rsid w:val="006F4830"/>
    <w:rsid w:val="006F5901"/>
    <w:rsid w:val="0070193E"/>
    <w:rsid w:val="00702FFC"/>
    <w:rsid w:val="00705502"/>
    <w:rsid w:val="00705D09"/>
    <w:rsid w:val="00705F31"/>
    <w:rsid w:val="00705F8A"/>
    <w:rsid w:val="007060C7"/>
    <w:rsid w:val="00706BC2"/>
    <w:rsid w:val="00706E89"/>
    <w:rsid w:val="007072EC"/>
    <w:rsid w:val="007078C9"/>
    <w:rsid w:val="00711710"/>
    <w:rsid w:val="007135F5"/>
    <w:rsid w:val="00714882"/>
    <w:rsid w:val="00715484"/>
    <w:rsid w:val="007174FB"/>
    <w:rsid w:val="00717E19"/>
    <w:rsid w:val="00717E32"/>
    <w:rsid w:val="00717FD2"/>
    <w:rsid w:val="007213AB"/>
    <w:rsid w:val="0072423E"/>
    <w:rsid w:val="00726070"/>
    <w:rsid w:val="00726078"/>
    <w:rsid w:val="00726D80"/>
    <w:rsid w:val="0072712B"/>
    <w:rsid w:val="0073181B"/>
    <w:rsid w:val="007373A8"/>
    <w:rsid w:val="00740729"/>
    <w:rsid w:val="0074446E"/>
    <w:rsid w:val="0074508E"/>
    <w:rsid w:val="00745384"/>
    <w:rsid w:val="00746830"/>
    <w:rsid w:val="0075079F"/>
    <w:rsid w:val="00752905"/>
    <w:rsid w:val="00752AA4"/>
    <w:rsid w:val="00753CF3"/>
    <w:rsid w:val="00762DFE"/>
    <w:rsid w:val="00764650"/>
    <w:rsid w:val="00766271"/>
    <w:rsid w:val="0077002B"/>
    <w:rsid w:val="007701C5"/>
    <w:rsid w:val="007702D3"/>
    <w:rsid w:val="00772304"/>
    <w:rsid w:val="007725E4"/>
    <w:rsid w:val="00773589"/>
    <w:rsid w:val="0077359A"/>
    <w:rsid w:val="00776F8F"/>
    <w:rsid w:val="00783309"/>
    <w:rsid w:val="00783627"/>
    <w:rsid w:val="007838CC"/>
    <w:rsid w:val="00786A86"/>
    <w:rsid w:val="0079070B"/>
    <w:rsid w:val="00790A50"/>
    <w:rsid w:val="00791656"/>
    <w:rsid w:val="00791F34"/>
    <w:rsid w:val="0079200A"/>
    <w:rsid w:val="0079311E"/>
    <w:rsid w:val="00794E3C"/>
    <w:rsid w:val="007A058A"/>
    <w:rsid w:val="007A10E7"/>
    <w:rsid w:val="007A1158"/>
    <w:rsid w:val="007A6A77"/>
    <w:rsid w:val="007A771E"/>
    <w:rsid w:val="007A782E"/>
    <w:rsid w:val="007A7CED"/>
    <w:rsid w:val="007B02BA"/>
    <w:rsid w:val="007B47AF"/>
    <w:rsid w:val="007B5DD7"/>
    <w:rsid w:val="007B7121"/>
    <w:rsid w:val="007B78A7"/>
    <w:rsid w:val="007C0045"/>
    <w:rsid w:val="007C4408"/>
    <w:rsid w:val="007C637C"/>
    <w:rsid w:val="007C64DC"/>
    <w:rsid w:val="007D19DC"/>
    <w:rsid w:val="007D2131"/>
    <w:rsid w:val="007D3B43"/>
    <w:rsid w:val="007D6CA1"/>
    <w:rsid w:val="007E199C"/>
    <w:rsid w:val="007E35AE"/>
    <w:rsid w:val="007E65A8"/>
    <w:rsid w:val="007F0105"/>
    <w:rsid w:val="007F0902"/>
    <w:rsid w:val="007F5FFE"/>
    <w:rsid w:val="007F6D4F"/>
    <w:rsid w:val="00800300"/>
    <w:rsid w:val="00802E64"/>
    <w:rsid w:val="008069C7"/>
    <w:rsid w:val="00806F75"/>
    <w:rsid w:val="00812A25"/>
    <w:rsid w:val="0081442C"/>
    <w:rsid w:val="00815C79"/>
    <w:rsid w:val="00816181"/>
    <w:rsid w:val="0082257F"/>
    <w:rsid w:val="00825D22"/>
    <w:rsid w:val="008265AB"/>
    <w:rsid w:val="00827286"/>
    <w:rsid w:val="0083078C"/>
    <w:rsid w:val="00832CAD"/>
    <w:rsid w:val="00834189"/>
    <w:rsid w:val="00834266"/>
    <w:rsid w:val="0083554D"/>
    <w:rsid w:val="00836F17"/>
    <w:rsid w:val="008400CD"/>
    <w:rsid w:val="00841861"/>
    <w:rsid w:val="008419CC"/>
    <w:rsid w:val="0084396A"/>
    <w:rsid w:val="00847474"/>
    <w:rsid w:val="00850672"/>
    <w:rsid w:val="008521A7"/>
    <w:rsid w:val="008524C9"/>
    <w:rsid w:val="00852D73"/>
    <w:rsid w:val="00857808"/>
    <w:rsid w:val="00860BCE"/>
    <w:rsid w:val="0086436D"/>
    <w:rsid w:val="00864B08"/>
    <w:rsid w:val="00870F6B"/>
    <w:rsid w:val="00873698"/>
    <w:rsid w:val="00873E2F"/>
    <w:rsid w:val="0087723D"/>
    <w:rsid w:val="00893B20"/>
    <w:rsid w:val="00893CCB"/>
    <w:rsid w:val="00895D3D"/>
    <w:rsid w:val="00897968"/>
    <w:rsid w:val="008A0A7C"/>
    <w:rsid w:val="008A4D5A"/>
    <w:rsid w:val="008A5155"/>
    <w:rsid w:val="008A6A38"/>
    <w:rsid w:val="008A7872"/>
    <w:rsid w:val="008B09D1"/>
    <w:rsid w:val="008B12C7"/>
    <w:rsid w:val="008B2708"/>
    <w:rsid w:val="008B5C03"/>
    <w:rsid w:val="008B5F3E"/>
    <w:rsid w:val="008B616E"/>
    <w:rsid w:val="008D03AB"/>
    <w:rsid w:val="008D3F0F"/>
    <w:rsid w:val="008D50B2"/>
    <w:rsid w:val="008D71D0"/>
    <w:rsid w:val="008E01AD"/>
    <w:rsid w:val="008E2293"/>
    <w:rsid w:val="008E597F"/>
    <w:rsid w:val="008E6BB8"/>
    <w:rsid w:val="008F0DE3"/>
    <w:rsid w:val="008F0F7C"/>
    <w:rsid w:val="008F1298"/>
    <w:rsid w:val="008F1334"/>
    <w:rsid w:val="008F3D0B"/>
    <w:rsid w:val="008F73BF"/>
    <w:rsid w:val="00902B4E"/>
    <w:rsid w:val="00904437"/>
    <w:rsid w:val="0090487F"/>
    <w:rsid w:val="00907F95"/>
    <w:rsid w:val="0091070A"/>
    <w:rsid w:val="00913BC9"/>
    <w:rsid w:val="009167A3"/>
    <w:rsid w:val="00916D48"/>
    <w:rsid w:val="00917747"/>
    <w:rsid w:val="009255A8"/>
    <w:rsid w:val="00927876"/>
    <w:rsid w:val="00931B06"/>
    <w:rsid w:val="00933DE8"/>
    <w:rsid w:val="00937A24"/>
    <w:rsid w:val="009420FF"/>
    <w:rsid w:val="00943D28"/>
    <w:rsid w:val="00945442"/>
    <w:rsid w:val="00945BA5"/>
    <w:rsid w:val="00950694"/>
    <w:rsid w:val="00951986"/>
    <w:rsid w:val="00951BC0"/>
    <w:rsid w:val="009532AE"/>
    <w:rsid w:val="00953425"/>
    <w:rsid w:val="0095584B"/>
    <w:rsid w:val="00956B0A"/>
    <w:rsid w:val="009635C0"/>
    <w:rsid w:val="0097161D"/>
    <w:rsid w:val="0097355A"/>
    <w:rsid w:val="00973C65"/>
    <w:rsid w:val="009746A4"/>
    <w:rsid w:val="009767B5"/>
    <w:rsid w:val="00981164"/>
    <w:rsid w:val="00981205"/>
    <w:rsid w:val="0098211F"/>
    <w:rsid w:val="009823CB"/>
    <w:rsid w:val="009913A5"/>
    <w:rsid w:val="00992CF4"/>
    <w:rsid w:val="0099365C"/>
    <w:rsid w:val="00994023"/>
    <w:rsid w:val="00997365"/>
    <w:rsid w:val="009A016B"/>
    <w:rsid w:val="009A1C4E"/>
    <w:rsid w:val="009A7DDE"/>
    <w:rsid w:val="009B2C7E"/>
    <w:rsid w:val="009B34D3"/>
    <w:rsid w:val="009B3AB7"/>
    <w:rsid w:val="009B7485"/>
    <w:rsid w:val="009C317C"/>
    <w:rsid w:val="009C4622"/>
    <w:rsid w:val="009C6DDE"/>
    <w:rsid w:val="009C6EF9"/>
    <w:rsid w:val="009D0D38"/>
    <w:rsid w:val="009D1436"/>
    <w:rsid w:val="009D1ADC"/>
    <w:rsid w:val="009D3C0C"/>
    <w:rsid w:val="009D5140"/>
    <w:rsid w:val="009D6746"/>
    <w:rsid w:val="009D6CA6"/>
    <w:rsid w:val="009D7CCB"/>
    <w:rsid w:val="009E23B4"/>
    <w:rsid w:val="009E266E"/>
    <w:rsid w:val="009E4D0A"/>
    <w:rsid w:val="009E54D6"/>
    <w:rsid w:val="009E5B0E"/>
    <w:rsid w:val="009F0529"/>
    <w:rsid w:val="009F0777"/>
    <w:rsid w:val="009F307E"/>
    <w:rsid w:val="009F3BC1"/>
    <w:rsid w:val="009F41F2"/>
    <w:rsid w:val="009F5522"/>
    <w:rsid w:val="009F65B8"/>
    <w:rsid w:val="00A03260"/>
    <w:rsid w:val="00A03DC0"/>
    <w:rsid w:val="00A10717"/>
    <w:rsid w:val="00A15CD3"/>
    <w:rsid w:val="00A17038"/>
    <w:rsid w:val="00A213B7"/>
    <w:rsid w:val="00A220D0"/>
    <w:rsid w:val="00A2252E"/>
    <w:rsid w:val="00A23B9C"/>
    <w:rsid w:val="00A24140"/>
    <w:rsid w:val="00A2623C"/>
    <w:rsid w:val="00A30E74"/>
    <w:rsid w:val="00A31333"/>
    <w:rsid w:val="00A33F3A"/>
    <w:rsid w:val="00A33F41"/>
    <w:rsid w:val="00A3436D"/>
    <w:rsid w:val="00A34C6A"/>
    <w:rsid w:val="00A40480"/>
    <w:rsid w:val="00A409FB"/>
    <w:rsid w:val="00A42E87"/>
    <w:rsid w:val="00A44B5A"/>
    <w:rsid w:val="00A44F7A"/>
    <w:rsid w:val="00A44FB8"/>
    <w:rsid w:val="00A464F5"/>
    <w:rsid w:val="00A51639"/>
    <w:rsid w:val="00A54742"/>
    <w:rsid w:val="00A56597"/>
    <w:rsid w:val="00A56C16"/>
    <w:rsid w:val="00A63063"/>
    <w:rsid w:val="00A634C5"/>
    <w:rsid w:val="00A66A91"/>
    <w:rsid w:val="00A66AF3"/>
    <w:rsid w:val="00A70E58"/>
    <w:rsid w:val="00A731EE"/>
    <w:rsid w:val="00A73539"/>
    <w:rsid w:val="00A758F7"/>
    <w:rsid w:val="00A76967"/>
    <w:rsid w:val="00A77386"/>
    <w:rsid w:val="00A83636"/>
    <w:rsid w:val="00A83CF0"/>
    <w:rsid w:val="00A86CF5"/>
    <w:rsid w:val="00A919D4"/>
    <w:rsid w:val="00A93045"/>
    <w:rsid w:val="00A952CB"/>
    <w:rsid w:val="00A96626"/>
    <w:rsid w:val="00AA1428"/>
    <w:rsid w:val="00AA1A0C"/>
    <w:rsid w:val="00AA4759"/>
    <w:rsid w:val="00AA4E1E"/>
    <w:rsid w:val="00AA619D"/>
    <w:rsid w:val="00AA73D8"/>
    <w:rsid w:val="00AB07F1"/>
    <w:rsid w:val="00AB15D5"/>
    <w:rsid w:val="00AB404B"/>
    <w:rsid w:val="00AB5CF2"/>
    <w:rsid w:val="00AB67FF"/>
    <w:rsid w:val="00AB7E01"/>
    <w:rsid w:val="00AC0909"/>
    <w:rsid w:val="00AC1152"/>
    <w:rsid w:val="00AC492E"/>
    <w:rsid w:val="00AC65EE"/>
    <w:rsid w:val="00AD0094"/>
    <w:rsid w:val="00AD1281"/>
    <w:rsid w:val="00AD3AF3"/>
    <w:rsid w:val="00AD46F9"/>
    <w:rsid w:val="00AD5068"/>
    <w:rsid w:val="00AF1676"/>
    <w:rsid w:val="00AF30C3"/>
    <w:rsid w:val="00AF36FB"/>
    <w:rsid w:val="00AF3E6B"/>
    <w:rsid w:val="00AF5998"/>
    <w:rsid w:val="00AF5FD1"/>
    <w:rsid w:val="00B02822"/>
    <w:rsid w:val="00B028FC"/>
    <w:rsid w:val="00B034F6"/>
    <w:rsid w:val="00B03828"/>
    <w:rsid w:val="00B055CB"/>
    <w:rsid w:val="00B06DFB"/>
    <w:rsid w:val="00B0780F"/>
    <w:rsid w:val="00B0792E"/>
    <w:rsid w:val="00B07B00"/>
    <w:rsid w:val="00B10F86"/>
    <w:rsid w:val="00B11C57"/>
    <w:rsid w:val="00B135B9"/>
    <w:rsid w:val="00B14455"/>
    <w:rsid w:val="00B16C8B"/>
    <w:rsid w:val="00B23E8A"/>
    <w:rsid w:val="00B2689D"/>
    <w:rsid w:val="00B278C0"/>
    <w:rsid w:val="00B30452"/>
    <w:rsid w:val="00B32C9E"/>
    <w:rsid w:val="00B358C7"/>
    <w:rsid w:val="00B441CE"/>
    <w:rsid w:val="00B51680"/>
    <w:rsid w:val="00B51D36"/>
    <w:rsid w:val="00B56CAE"/>
    <w:rsid w:val="00B57D4F"/>
    <w:rsid w:val="00B60755"/>
    <w:rsid w:val="00B6126C"/>
    <w:rsid w:val="00B61540"/>
    <w:rsid w:val="00B638D9"/>
    <w:rsid w:val="00B73B9F"/>
    <w:rsid w:val="00B7558F"/>
    <w:rsid w:val="00B76FA4"/>
    <w:rsid w:val="00B77D76"/>
    <w:rsid w:val="00B876F9"/>
    <w:rsid w:val="00B91D88"/>
    <w:rsid w:val="00B927C6"/>
    <w:rsid w:val="00B94099"/>
    <w:rsid w:val="00B941EC"/>
    <w:rsid w:val="00B9526C"/>
    <w:rsid w:val="00B97569"/>
    <w:rsid w:val="00B97849"/>
    <w:rsid w:val="00BA151C"/>
    <w:rsid w:val="00BA2AF1"/>
    <w:rsid w:val="00BB0829"/>
    <w:rsid w:val="00BB1E74"/>
    <w:rsid w:val="00BB40E5"/>
    <w:rsid w:val="00BB475C"/>
    <w:rsid w:val="00BB529A"/>
    <w:rsid w:val="00BB748E"/>
    <w:rsid w:val="00BC23A6"/>
    <w:rsid w:val="00BC2953"/>
    <w:rsid w:val="00BC4FC9"/>
    <w:rsid w:val="00BC6F30"/>
    <w:rsid w:val="00BD02BB"/>
    <w:rsid w:val="00BD1BC5"/>
    <w:rsid w:val="00BD375C"/>
    <w:rsid w:val="00BD4F8F"/>
    <w:rsid w:val="00BD6B0B"/>
    <w:rsid w:val="00BE406D"/>
    <w:rsid w:val="00BE4A67"/>
    <w:rsid w:val="00BE626B"/>
    <w:rsid w:val="00BF2239"/>
    <w:rsid w:val="00BF6F79"/>
    <w:rsid w:val="00C009DE"/>
    <w:rsid w:val="00C04206"/>
    <w:rsid w:val="00C05D73"/>
    <w:rsid w:val="00C1009A"/>
    <w:rsid w:val="00C11CDC"/>
    <w:rsid w:val="00C13802"/>
    <w:rsid w:val="00C1553D"/>
    <w:rsid w:val="00C159F4"/>
    <w:rsid w:val="00C165C5"/>
    <w:rsid w:val="00C2109C"/>
    <w:rsid w:val="00C22433"/>
    <w:rsid w:val="00C22773"/>
    <w:rsid w:val="00C26594"/>
    <w:rsid w:val="00C33050"/>
    <w:rsid w:val="00C34759"/>
    <w:rsid w:val="00C451DF"/>
    <w:rsid w:val="00C52049"/>
    <w:rsid w:val="00C6279D"/>
    <w:rsid w:val="00C6516D"/>
    <w:rsid w:val="00C65A90"/>
    <w:rsid w:val="00C6652F"/>
    <w:rsid w:val="00C6779A"/>
    <w:rsid w:val="00C67E80"/>
    <w:rsid w:val="00C70038"/>
    <w:rsid w:val="00C72846"/>
    <w:rsid w:val="00C803A1"/>
    <w:rsid w:val="00C82095"/>
    <w:rsid w:val="00C8352A"/>
    <w:rsid w:val="00C839A1"/>
    <w:rsid w:val="00C86F43"/>
    <w:rsid w:val="00C92EFD"/>
    <w:rsid w:val="00C9341A"/>
    <w:rsid w:val="00C95D01"/>
    <w:rsid w:val="00C96C9B"/>
    <w:rsid w:val="00C97FC6"/>
    <w:rsid w:val="00CA3FE1"/>
    <w:rsid w:val="00CB1E01"/>
    <w:rsid w:val="00CB351B"/>
    <w:rsid w:val="00CB6A2E"/>
    <w:rsid w:val="00CC0B10"/>
    <w:rsid w:val="00CC0DF8"/>
    <w:rsid w:val="00CC0E07"/>
    <w:rsid w:val="00CC2EA8"/>
    <w:rsid w:val="00CC3997"/>
    <w:rsid w:val="00CD27F3"/>
    <w:rsid w:val="00CD4A77"/>
    <w:rsid w:val="00CD4D48"/>
    <w:rsid w:val="00CD6DF5"/>
    <w:rsid w:val="00CE1CDB"/>
    <w:rsid w:val="00CE2677"/>
    <w:rsid w:val="00CE505D"/>
    <w:rsid w:val="00CE54BE"/>
    <w:rsid w:val="00CE6654"/>
    <w:rsid w:val="00CE7575"/>
    <w:rsid w:val="00CE7FD7"/>
    <w:rsid w:val="00CF0717"/>
    <w:rsid w:val="00CF2DAF"/>
    <w:rsid w:val="00CF7406"/>
    <w:rsid w:val="00CF7458"/>
    <w:rsid w:val="00D06BCE"/>
    <w:rsid w:val="00D06F05"/>
    <w:rsid w:val="00D0743B"/>
    <w:rsid w:val="00D10AB4"/>
    <w:rsid w:val="00D114D4"/>
    <w:rsid w:val="00D12223"/>
    <w:rsid w:val="00D12BCF"/>
    <w:rsid w:val="00D12BDA"/>
    <w:rsid w:val="00D1355A"/>
    <w:rsid w:val="00D13B28"/>
    <w:rsid w:val="00D17832"/>
    <w:rsid w:val="00D20EEB"/>
    <w:rsid w:val="00D22306"/>
    <w:rsid w:val="00D225B1"/>
    <w:rsid w:val="00D23A17"/>
    <w:rsid w:val="00D24E41"/>
    <w:rsid w:val="00D2508E"/>
    <w:rsid w:val="00D268A1"/>
    <w:rsid w:val="00D2697D"/>
    <w:rsid w:val="00D33623"/>
    <w:rsid w:val="00D36D0D"/>
    <w:rsid w:val="00D36DE9"/>
    <w:rsid w:val="00D440FC"/>
    <w:rsid w:val="00D47C00"/>
    <w:rsid w:val="00D54A1F"/>
    <w:rsid w:val="00D5781A"/>
    <w:rsid w:val="00D57B27"/>
    <w:rsid w:val="00D62FBE"/>
    <w:rsid w:val="00D63C4E"/>
    <w:rsid w:val="00D65A97"/>
    <w:rsid w:val="00D6641C"/>
    <w:rsid w:val="00D7006F"/>
    <w:rsid w:val="00D732F7"/>
    <w:rsid w:val="00D75758"/>
    <w:rsid w:val="00D760CD"/>
    <w:rsid w:val="00D7656D"/>
    <w:rsid w:val="00D84C10"/>
    <w:rsid w:val="00D95147"/>
    <w:rsid w:val="00D95A40"/>
    <w:rsid w:val="00D964CF"/>
    <w:rsid w:val="00DA0D46"/>
    <w:rsid w:val="00DA5535"/>
    <w:rsid w:val="00DA6449"/>
    <w:rsid w:val="00DA6AFB"/>
    <w:rsid w:val="00DA7655"/>
    <w:rsid w:val="00DB22D8"/>
    <w:rsid w:val="00DB24FA"/>
    <w:rsid w:val="00DB3214"/>
    <w:rsid w:val="00DB5C5F"/>
    <w:rsid w:val="00DC00FB"/>
    <w:rsid w:val="00DC0720"/>
    <w:rsid w:val="00DC363A"/>
    <w:rsid w:val="00DC477D"/>
    <w:rsid w:val="00DC4BC6"/>
    <w:rsid w:val="00DC4C3E"/>
    <w:rsid w:val="00DC4FC9"/>
    <w:rsid w:val="00DC7077"/>
    <w:rsid w:val="00DD2B5D"/>
    <w:rsid w:val="00DD476F"/>
    <w:rsid w:val="00DD480B"/>
    <w:rsid w:val="00DD4B52"/>
    <w:rsid w:val="00DD4CAC"/>
    <w:rsid w:val="00DD547C"/>
    <w:rsid w:val="00DD7412"/>
    <w:rsid w:val="00DD767D"/>
    <w:rsid w:val="00DE0E59"/>
    <w:rsid w:val="00DE394E"/>
    <w:rsid w:val="00DE7B3E"/>
    <w:rsid w:val="00DF0659"/>
    <w:rsid w:val="00DF69AC"/>
    <w:rsid w:val="00E0117C"/>
    <w:rsid w:val="00E04EA4"/>
    <w:rsid w:val="00E0575D"/>
    <w:rsid w:val="00E12441"/>
    <w:rsid w:val="00E12695"/>
    <w:rsid w:val="00E152E9"/>
    <w:rsid w:val="00E16358"/>
    <w:rsid w:val="00E1734D"/>
    <w:rsid w:val="00E17E24"/>
    <w:rsid w:val="00E22AB9"/>
    <w:rsid w:val="00E24B18"/>
    <w:rsid w:val="00E26DF6"/>
    <w:rsid w:val="00E331A3"/>
    <w:rsid w:val="00E33E28"/>
    <w:rsid w:val="00E34F2F"/>
    <w:rsid w:val="00E36D67"/>
    <w:rsid w:val="00E37AD9"/>
    <w:rsid w:val="00E37FEC"/>
    <w:rsid w:val="00E40853"/>
    <w:rsid w:val="00E44275"/>
    <w:rsid w:val="00E445BD"/>
    <w:rsid w:val="00E44934"/>
    <w:rsid w:val="00E4558B"/>
    <w:rsid w:val="00E504D7"/>
    <w:rsid w:val="00E52CEE"/>
    <w:rsid w:val="00E52E21"/>
    <w:rsid w:val="00E5360F"/>
    <w:rsid w:val="00E5379E"/>
    <w:rsid w:val="00E538DD"/>
    <w:rsid w:val="00E556D9"/>
    <w:rsid w:val="00E557AB"/>
    <w:rsid w:val="00E562D3"/>
    <w:rsid w:val="00E57C23"/>
    <w:rsid w:val="00E607AA"/>
    <w:rsid w:val="00E6086A"/>
    <w:rsid w:val="00E63734"/>
    <w:rsid w:val="00E71069"/>
    <w:rsid w:val="00E76E13"/>
    <w:rsid w:val="00E8340D"/>
    <w:rsid w:val="00E841DD"/>
    <w:rsid w:val="00E844B9"/>
    <w:rsid w:val="00E86581"/>
    <w:rsid w:val="00E8692A"/>
    <w:rsid w:val="00E86FE4"/>
    <w:rsid w:val="00E8731F"/>
    <w:rsid w:val="00E90D0A"/>
    <w:rsid w:val="00E93395"/>
    <w:rsid w:val="00E950C8"/>
    <w:rsid w:val="00E95A14"/>
    <w:rsid w:val="00E96891"/>
    <w:rsid w:val="00E968DF"/>
    <w:rsid w:val="00E97241"/>
    <w:rsid w:val="00E97949"/>
    <w:rsid w:val="00EA1473"/>
    <w:rsid w:val="00EA252B"/>
    <w:rsid w:val="00EA2958"/>
    <w:rsid w:val="00EA2E93"/>
    <w:rsid w:val="00EA43DF"/>
    <w:rsid w:val="00EA53D0"/>
    <w:rsid w:val="00EB1852"/>
    <w:rsid w:val="00EB1D25"/>
    <w:rsid w:val="00EB28B7"/>
    <w:rsid w:val="00EB6228"/>
    <w:rsid w:val="00EB7577"/>
    <w:rsid w:val="00EC1C9A"/>
    <w:rsid w:val="00EC57A4"/>
    <w:rsid w:val="00EC68EE"/>
    <w:rsid w:val="00ED0E4F"/>
    <w:rsid w:val="00ED3E09"/>
    <w:rsid w:val="00ED46E7"/>
    <w:rsid w:val="00ED5F1D"/>
    <w:rsid w:val="00ED7B98"/>
    <w:rsid w:val="00EE1FC1"/>
    <w:rsid w:val="00EE3A77"/>
    <w:rsid w:val="00EE532A"/>
    <w:rsid w:val="00EE5B5B"/>
    <w:rsid w:val="00EE6C73"/>
    <w:rsid w:val="00EF7D27"/>
    <w:rsid w:val="00EF7D5D"/>
    <w:rsid w:val="00F00580"/>
    <w:rsid w:val="00F00734"/>
    <w:rsid w:val="00F026E5"/>
    <w:rsid w:val="00F03DD4"/>
    <w:rsid w:val="00F117D9"/>
    <w:rsid w:val="00F12893"/>
    <w:rsid w:val="00F12C3C"/>
    <w:rsid w:val="00F14DBB"/>
    <w:rsid w:val="00F15965"/>
    <w:rsid w:val="00F15BC1"/>
    <w:rsid w:val="00F179BD"/>
    <w:rsid w:val="00F23BA8"/>
    <w:rsid w:val="00F24FEE"/>
    <w:rsid w:val="00F2700D"/>
    <w:rsid w:val="00F27524"/>
    <w:rsid w:val="00F30871"/>
    <w:rsid w:val="00F30BD2"/>
    <w:rsid w:val="00F32292"/>
    <w:rsid w:val="00F344F3"/>
    <w:rsid w:val="00F3500F"/>
    <w:rsid w:val="00F36917"/>
    <w:rsid w:val="00F36E99"/>
    <w:rsid w:val="00F40806"/>
    <w:rsid w:val="00F42FA2"/>
    <w:rsid w:val="00F43415"/>
    <w:rsid w:val="00F436D0"/>
    <w:rsid w:val="00F446F0"/>
    <w:rsid w:val="00F455B1"/>
    <w:rsid w:val="00F45F61"/>
    <w:rsid w:val="00F46C24"/>
    <w:rsid w:val="00F54B76"/>
    <w:rsid w:val="00F54BEA"/>
    <w:rsid w:val="00F564BC"/>
    <w:rsid w:val="00F6253C"/>
    <w:rsid w:val="00F625EA"/>
    <w:rsid w:val="00F64A39"/>
    <w:rsid w:val="00F64B00"/>
    <w:rsid w:val="00F74FF5"/>
    <w:rsid w:val="00F76263"/>
    <w:rsid w:val="00F77E62"/>
    <w:rsid w:val="00F8034F"/>
    <w:rsid w:val="00F80BE8"/>
    <w:rsid w:val="00F82D95"/>
    <w:rsid w:val="00F82E99"/>
    <w:rsid w:val="00F83D4A"/>
    <w:rsid w:val="00F83D63"/>
    <w:rsid w:val="00F83FC2"/>
    <w:rsid w:val="00F85157"/>
    <w:rsid w:val="00F91732"/>
    <w:rsid w:val="00F91831"/>
    <w:rsid w:val="00F955EB"/>
    <w:rsid w:val="00FA0966"/>
    <w:rsid w:val="00FA3E49"/>
    <w:rsid w:val="00FA4931"/>
    <w:rsid w:val="00FA6333"/>
    <w:rsid w:val="00FB19C2"/>
    <w:rsid w:val="00FB1F2C"/>
    <w:rsid w:val="00FB1F2D"/>
    <w:rsid w:val="00FB4E1B"/>
    <w:rsid w:val="00FB585F"/>
    <w:rsid w:val="00FB5ECE"/>
    <w:rsid w:val="00FC1FDF"/>
    <w:rsid w:val="00FC4D12"/>
    <w:rsid w:val="00FC63FA"/>
    <w:rsid w:val="00FC7653"/>
    <w:rsid w:val="00FD448E"/>
    <w:rsid w:val="00FD763B"/>
    <w:rsid w:val="00FE050F"/>
    <w:rsid w:val="00FE0AFA"/>
    <w:rsid w:val="00FE0ED5"/>
    <w:rsid w:val="00FE26B3"/>
    <w:rsid w:val="00FE4EDD"/>
    <w:rsid w:val="00FE6985"/>
    <w:rsid w:val="00FE7B30"/>
    <w:rsid w:val="00FF019E"/>
    <w:rsid w:val="00FF2F6C"/>
    <w:rsid w:val="00FF517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Garamond" w:eastAsia="Calibri" w:hAnsi="Garamond"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envelope return" w:uiPriority="0"/>
    <w:lsdException w:name="footnote reference" w:uiPriority="0"/>
    <w:lsdException w:name="endnote reference"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6FA4"/>
    <w:pPr>
      <w:spacing w:after="200" w:line="276" w:lineRule="auto"/>
    </w:pPr>
    <w:rPr>
      <w:sz w:val="24"/>
      <w:szCs w:val="24"/>
      <w:lang w:val="en-GB"/>
    </w:rPr>
  </w:style>
  <w:style w:type="paragraph" w:styleId="Heading1">
    <w:name w:val="heading 1"/>
    <w:basedOn w:val="Normal"/>
    <w:next w:val="Normal"/>
    <w:link w:val="Heading1Char"/>
    <w:qFormat/>
    <w:rsid w:val="00992CF4"/>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nhideWhenUsed/>
    <w:qFormat/>
    <w:rsid w:val="008B2708"/>
    <w:pPr>
      <w:keepNext/>
      <w:keepLines/>
      <w:spacing w:before="200" w:after="0"/>
      <w:outlineLvl w:val="1"/>
    </w:pPr>
    <w:rPr>
      <w:rFonts w:ascii="Cambria" w:eastAsia="Times New Roman" w:hAnsi="Cambria"/>
      <w:b/>
      <w:bCs/>
      <w:color w:val="4F81BD"/>
      <w:sz w:val="26"/>
      <w:szCs w:val="26"/>
      <w:lang w:val="en-US"/>
    </w:rPr>
  </w:style>
  <w:style w:type="paragraph" w:styleId="Heading3">
    <w:name w:val="heading 3"/>
    <w:basedOn w:val="Heading"/>
    <w:next w:val="BodyText"/>
    <w:link w:val="Heading3Char"/>
    <w:qFormat/>
    <w:rsid w:val="008B2708"/>
    <w:pPr>
      <w:tabs>
        <w:tab w:val="num" w:pos="0"/>
      </w:tabs>
      <w:outlineLvl w:val="2"/>
    </w:pPr>
    <w:rPr>
      <w:b/>
      <w:bCs/>
      <w:sz w:val="26"/>
      <w:szCs w:val="26"/>
    </w:rPr>
  </w:style>
  <w:style w:type="paragraph" w:styleId="Heading4">
    <w:name w:val="heading 4"/>
    <w:basedOn w:val="Heading"/>
    <w:next w:val="BodyText"/>
    <w:link w:val="Heading4Char"/>
    <w:qFormat/>
    <w:rsid w:val="008B2708"/>
    <w:pPr>
      <w:tabs>
        <w:tab w:val="num" w:pos="0"/>
      </w:tabs>
      <w:outlineLvl w:val="3"/>
    </w:pPr>
    <w:rPr>
      <w:b/>
      <w:bCs/>
      <w:i/>
      <w:iCs/>
      <w:sz w:val="24"/>
      <w:szCs w:val="24"/>
    </w:rPr>
  </w:style>
  <w:style w:type="paragraph" w:styleId="Heading5">
    <w:name w:val="heading 5"/>
    <w:basedOn w:val="Heading"/>
    <w:next w:val="BodyText"/>
    <w:link w:val="Heading5Char"/>
    <w:qFormat/>
    <w:rsid w:val="008B2708"/>
    <w:pPr>
      <w:tabs>
        <w:tab w:val="num" w:pos="0"/>
      </w:tabs>
      <w:outlineLvl w:val="4"/>
    </w:pPr>
    <w:rPr>
      <w:b/>
      <w:bCs/>
      <w:sz w:val="22"/>
      <w:szCs w:val="22"/>
    </w:rPr>
  </w:style>
  <w:style w:type="paragraph" w:styleId="Heading6">
    <w:name w:val="heading 6"/>
    <w:basedOn w:val="Heading"/>
    <w:next w:val="BodyText"/>
    <w:link w:val="Heading6Char"/>
    <w:qFormat/>
    <w:rsid w:val="008B2708"/>
    <w:pPr>
      <w:tabs>
        <w:tab w:val="num" w:pos="0"/>
      </w:tabs>
      <w:outlineLvl w:val="5"/>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2E608A"/>
    <w:pPr>
      <w:spacing w:after="0" w:line="240" w:lineRule="auto"/>
    </w:pPr>
    <w:rPr>
      <w:sz w:val="20"/>
      <w:szCs w:val="20"/>
    </w:rPr>
  </w:style>
  <w:style w:type="character" w:customStyle="1" w:styleId="FootnoteTextChar">
    <w:name w:val="Footnote Text Char"/>
    <w:basedOn w:val="DefaultParagraphFont"/>
    <w:link w:val="FootnoteText"/>
    <w:uiPriority w:val="99"/>
    <w:rsid w:val="002E608A"/>
    <w:rPr>
      <w:sz w:val="20"/>
      <w:szCs w:val="20"/>
    </w:rPr>
  </w:style>
  <w:style w:type="character" w:styleId="FootnoteReference">
    <w:name w:val="footnote reference"/>
    <w:basedOn w:val="DefaultParagraphFont"/>
    <w:semiHidden/>
    <w:unhideWhenUsed/>
    <w:rsid w:val="002E608A"/>
    <w:rPr>
      <w:vertAlign w:val="superscript"/>
    </w:rPr>
  </w:style>
  <w:style w:type="paragraph" w:styleId="BodyText">
    <w:name w:val="Body Text"/>
    <w:basedOn w:val="Normal"/>
    <w:link w:val="BodyTextChar"/>
    <w:semiHidden/>
    <w:unhideWhenUsed/>
    <w:rsid w:val="002E608A"/>
    <w:pPr>
      <w:spacing w:after="120"/>
    </w:pPr>
  </w:style>
  <w:style w:type="character" w:customStyle="1" w:styleId="BodyTextChar">
    <w:name w:val="Body Text Char"/>
    <w:basedOn w:val="DefaultParagraphFont"/>
    <w:link w:val="BodyText"/>
    <w:uiPriority w:val="99"/>
    <w:semiHidden/>
    <w:rsid w:val="002E608A"/>
  </w:style>
  <w:style w:type="paragraph" w:styleId="DocumentMap">
    <w:name w:val="Document Map"/>
    <w:basedOn w:val="Normal"/>
    <w:link w:val="DocumentMapChar"/>
    <w:uiPriority w:val="99"/>
    <w:semiHidden/>
    <w:unhideWhenUsed/>
    <w:rsid w:val="00243B7D"/>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243B7D"/>
    <w:rPr>
      <w:rFonts w:ascii="Tahoma" w:hAnsi="Tahoma" w:cs="Tahoma"/>
      <w:sz w:val="16"/>
      <w:szCs w:val="16"/>
      <w:lang w:val="en-GB"/>
    </w:rPr>
  </w:style>
  <w:style w:type="paragraph" w:styleId="Header">
    <w:name w:val="header"/>
    <w:basedOn w:val="Normal"/>
    <w:link w:val="HeaderChar"/>
    <w:semiHidden/>
    <w:unhideWhenUsed/>
    <w:rsid w:val="008F3D0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F3D0B"/>
    <w:rPr>
      <w:lang w:val="en-GB"/>
    </w:rPr>
  </w:style>
  <w:style w:type="paragraph" w:styleId="Footer">
    <w:name w:val="footer"/>
    <w:basedOn w:val="Normal"/>
    <w:link w:val="FooterChar"/>
    <w:uiPriority w:val="99"/>
    <w:unhideWhenUsed/>
    <w:rsid w:val="008F3D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3D0B"/>
    <w:rPr>
      <w:lang w:val="en-GB"/>
    </w:rPr>
  </w:style>
  <w:style w:type="character" w:customStyle="1" w:styleId="Heading1Char">
    <w:name w:val="Heading 1 Char"/>
    <w:basedOn w:val="DefaultParagraphFont"/>
    <w:link w:val="Heading1"/>
    <w:uiPriority w:val="9"/>
    <w:rsid w:val="00992CF4"/>
    <w:rPr>
      <w:rFonts w:ascii="Cambria" w:eastAsia="Times New Roman" w:hAnsi="Cambria" w:cs="Times New Roman"/>
      <w:b/>
      <w:bCs/>
      <w:kern w:val="32"/>
      <w:sz w:val="32"/>
      <w:szCs w:val="32"/>
      <w:lang w:val="en-GB"/>
    </w:rPr>
  </w:style>
  <w:style w:type="character" w:styleId="Hyperlink">
    <w:name w:val="Hyperlink"/>
    <w:basedOn w:val="DefaultParagraphFont"/>
    <w:unhideWhenUsed/>
    <w:rsid w:val="00992CF4"/>
    <w:rPr>
      <w:color w:val="0000FF"/>
      <w:u w:val="single"/>
    </w:rPr>
  </w:style>
  <w:style w:type="paragraph" w:styleId="EndnoteText">
    <w:name w:val="endnote text"/>
    <w:basedOn w:val="Normal"/>
    <w:link w:val="EndnoteTextChar"/>
    <w:uiPriority w:val="99"/>
    <w:semiHidden/>
    <w:unhideWhenUsed/>
    <w:rsid w:val="00F179BD"/>
    <w:rPr>
      <w:sz w:val="20"/>
      <w:szCs w:val="20"/>
    </w:rPr>
  </w:style>
  <w:style w:type="character" w:customStyle="1" w:styleId="EndnoteTextChar">
    <w:name w:val="Endnote Text Char"/>
    <w:basedOn w:val="DefaultParagraphFont"/>
    <w:link w:val="EndnoteText"/>
    <w:uiPriority w:val="99"/>
    <w:semiHidden/>
    <w:rsid w:val="00F179BD"/>
    <w:rPr>
      <w:lang w:val="en-GB"/>
    </w:rPr>
  </w:style>
  <w:style w:type="character" w:styleId="EndnoteReference">
    <w:name w:val="endnote reference"/>
    <w:basedOn w:val="DefaultParagraphFont"/>
    <w:semiHidden/>
    <w:unhideWhenUsed/>
    <w:rsid w:val="00F179BD"/>
    <w:rPr>
      <w:vertAlign w:val="superscript"/>
    </w:rPr>
  </w:style>
  <w:style w:type="character" w:styleId="CommentReference">
    <w:name w:val="annotation reference"/>
    <w:basedOn w:val="DefaultParagraphFont"/>
    <w:uiPriority w:val="99"/>
    <w:semiHidden/>
    <w:unhideWhenUsed/>
    <w:rsid w:val="0032491A"/>
    <w:rPr>
      <w:sz w:val="16"/>
      <w:szCs w:val="16"/>
    </w:rPr>
  </w:style>
  <w:style w:type="paragraph" w:styleId="CommentText">
    <w:name w:val="annotation text"/>
    <w:basedOn w:val="Normal"/>
    <w:link w:val="CommentTextChar"/>
    <w:uiPriority w:val="99"/>
    <w:semiHidden/>
    <w:unhideWhenUsed/>
    <w:rsid w:val="0032491A"/>
    <w:rPr>
      <w:sz w:val="20"/>
      <w:szCs w:val="20"/>
    </w:rPr>
  </w:style>
  <w:style w:type="character" w:customStyle="1" w:styleId="CommentTextChar">
    <w:name w:val="Comment Text Char"/>
    <w:basedOn w:val="DefaultParagraphFont"/>
    <w:link w:val="CommentText"/>
    <w:uiPriority w:val="99"/>
    <w:semiHidden/>
    <w:rsid w:val="0032491A"/>
    <w:rPr>
      <w:lang w:val="en-GB"/>
    </w:rPr>
  </w:style>
  <w:style w:type="paragraph" w:styleId="CommentSubject">
    <w:name w:val="annotation subject"/>
    <w:basedOn w:val="CommentText"/>
    <w:next w:val="CommentText"/>
    <w:link w:val="CommentSubjectChar"/>
    <w:uiPriority w:val="99"/>
    <w:semiHidden/>
    <w:unhideWhenUsed/>
    <w:rsid w:val="0032491A"/>
    <w:rPr>
      <w:b/>
      <w:bCs/>
    </w:rPr>
  </w:style>
  <w:style w:type="character" w:customStyle="1" w:styleId="CommentSubjectChar">
    <w:name w:val="Comment Subject Char"/>
    <w:basedOn w:val="CommentTextChar"/>
    <w:link w:val="CommentSubject"/>
    <w:uiPriority w:val="99"/>
    <w:semiHidden/>
    <w:rsid w:val="0032491A"/>
    <w:rPr>
      <w:b/>
      <w:bCs/>
    </w:rPr>
  </w:style>
  <w:style w:type="paragraph" w:styleId="BalloonText">
    <w:name w:val="Balloon Text"/>
    <w:basedOn w:val="Normal"/>
    <w:link w:val="BalloonTextChar"/>
    <w:uiPriority w:val="99"/>
    <w:semiHidden/>
    <w:unhideWhenUsed/>
    <w:rsid w:val="003249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491A"/>
    <w:rPr>
      <w:rFonts w:ascii="Tahoma" w:hAnsi="Tahoma" w:cs="Tahoma"/>
      <w:sz w:val="16"/>
      <w:szCs w:val="16"/>
      <w:lang w:val="en-GB"/>
    </w:rPr>
  </w:style>
  <w:style w:type="character" w:customStyle="1" w:styleId="Heading2Char">
    <w:name w:val="Heading 2 Char"/>
    <w:basedOn w:val="DefaultParagraphFont"/>
    <w:link w:val="Heading2"/>
    <w:uiPriority w:val="9"/>
    <w:rsid w:val="008B2708"/>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8B2708"/>
    <w:rPr>
      <w:rFonts w:ascii="Albany" w:eastAsia="HG Mincho Light J" w:hAnsi="Albany" w:cs="Arial Unicode MS"/>
      <w:b/>
      <w:bCs/>
      <w:color w:val="000000"/>
      <w:sz w:val="26"/>
      <w:szCs w:val="26"/>
    </w:rPr>
  </w:style>
  <w:style w:type="character" w:customStyle="1" w:styleId="Heading4Char">
    <w:name w:val="Heading 4 Char"/>
    <w:basedOn w:val="DefaultParagraphFont"/>
    <w:link w:val="Heading4"/>
    <w:rsid w:val="008B2708"/>
    <w:rPr>
      <w:rFonts w:ascii="Albany" w:eastAsia="HG Mincho Light J" w:hAnsi="Albany" w:cs="Arial Unicode MS"/>
      <w:b/>
      <w:bCs/>
      <w:i/>
      <w:iCs/>
      <w:color w:val="000000"/>
      <w:sz w:val="24"/>
      <w:szCs w:val="24"/>
    </w:rPr>
  </w:style>
  <w:style w:type="character" w:customStyle="1" w:styleId="Heading5Char">
    <w:name w:val="Heading 5 Char"/>
    <w:basedOn w:val="DefaultParagraphFont"/>
    <w:link w:val="Heading5"/>
    <w:rsid w:val="008B2708"/>
    <w:rPr>
      <w:rFonts w:ascii="Albany" w:eastAsia="HG Mincho Light J" w:hAnsi="Albany" w:cs="Arial Unicode MS"/>
      <w:b/>
      <w:bCs/>
      <w:color w:val="000000"/>
      <w:sz w:val="22"/>
      <w:szCs w:val="22"/>
    </w:rPr>
  </w:style>
  <w:style w:type="character" w:customStyle="1" w:styleId="Heading6Char">
    <w:name w:val="Heading 6 Char"/>
    <w:basedOn w:val="DefaultParagraphFont"/>
    <w:link w:val="Heading6"/>
    <w:rsid w:val="008B2708"/>
    <w:rPr>
      <w:rFonts w:ascii="Albany" w:eastAsia="HG Mincho Light J" w:hAnsi="Albany" w:cs="Arial Unicode MS"/>
      <w:b/>
      <w:bCs/>
      <w:color w:val="000000"/>
    </w:rPr>
  </w:style>
  <w:style w:type="table" w:styleId="TableGrid">
    <w:name w:val="Table Grid"/>
    <w:basedOn w:val="TableNormal"/>
    <w:rsid w:val="008B2708"/>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Characters">
    <w:name w:val="Footnote Characters"/>
    <w:rsid w:val="008B2708"/>
  </w:style>
  <w:style w:type="character" w:customStyle="1" w:styleId="EndnoteCharacters">
    <w:name w:val="Endnote Characters"/>
    <w:rsid w:val="008B2708"/>
  </w:style>
  <w:style w:type="paragraph" w:customStyle="1" w:styleId="Heading">
    <w:name w:val="Heading"/>
    <w:basedOn w:val="Normal"/>
    <w:next w:val="BodyText"/>
    <w:rsid w:val="008B2708"/>
    <w:pPr>
      <w:keepNext/>
      <w:widowControl w:val="0"/>
      <w:suppressAutoHyphens/>
      <w:spacing w:before="240" w:after="283" w:line="240" w:lineRule="auto"/>
    </w:pPr>
    <w:rPr>
      <w:rFonts w:ascii="Albany" w:eastAsia="HG Mincho Light J" w:hAnsi="Albany" w:cs="Arial Unicode MS"/>
      <w:color w:val="000000"/>
      <w:sz w:val="28"/>
      <w:szCs w:val="28"/>
      <w:lang w:val="en-US"/>
    </w:rPr>
  </w:style>
  <w:style w:type="paragraph" w:styleId="List">
    <w:name w:val="List"/>
    <w:basedOn w:val="BodyText"/>
    <w:semiHidden/>
    <w:rsid w:val="008B2708"/>
    <w:pPr>
      <w:widowControl w:val="0"/>
      <w:suppressAutoHyphens/>
      <w:spacing w:after="0" w:line="240" w:lineRule="auto"/>
    </w:pPr>
    <w:rPr>
      <w:rFonts w:eastAsia="Times New Roman"/>
      <w:color w:val="000000"/>
      <w:lang w:val="en-US"/>
    </w:rPr>
  </w:style>
  <w:style w:type="paragraph" w:customStyle="1" w:styleId="TableContents">
    <w:name w:val="Table Contents"/>
    <w:basedOn w:val="BodyText"/>
    <w:rsid w:val="008B2708"/>
    <w:pPr>
      <w:widowControl w:val="0"/>
      <w:suppressAutoHyphens/>
      <w:spacing w:after="0" w:line="240" w:lineRule="auto"/>
    </w:pPr>
    <w:rPr>
      <w:rFonts w:eastAsia="Times New Roman"/>
      <w:color w:val="000000"/>
      <w:lang w:val="en-US"/>
    </w:rPr>
  </w:style>
  <w:style w:type="paragraph" w:styleId="Caption">
    <w:name w:val="caption"/>
    <w:basedOn w:val="Normal"/>
    <w:qFormat/>
    <w:rsid w:val="008B2708"/>
    <w:pPr>
      <w:widowControl w:val="0"/>
      <w:suppressLineNumbers/>
      <w:suppressAutoHyphens/>
      <w:spacing w:before="120" w:after="120" w:line="240" w:lineRule="auto"/>
    </w:pPr>
    <w:rPr>
      <w:rFonts w:eastAsia="Times New Roman"/>
      <w:i/>
      <w:iCs/>
      <w:color w:val="000000"/>
      <w:lang w:val="en-US"/>
    </w:rPr>
  </w:style>
  <w:style w:type="paragraph" w:styleId="EnvelopeReturn">
    <w:name w:val="envelope return"/>
    <w:basedOn w:val="Normal"/>
    <w:semiHidden/>
    <w:rsid w:val="008B2708"/>
    <w:pPr>
      <w:widowControl w:val="0"/>
      <w:suppressAutoHyphens/>
      <w:spacing w:after="0" w:line="240" w:lineRule="auto"/>
    </w:pPr>
    <w:rPr>
      <w:rFonts w:eastAsia="Times New Roman"/>
      <w:i/>
      <w:color w:val="000000"/>
      <w:lang w:val="en-US"/>
    </w:rPr>
  </w:style>
  <w:style w:type="paragraph" w:customStyle="1" w:styleId="Index">
    <w:name w:val="Index"/>
    <w:basedOn w:val="Normal"/>
    <w:rsid w:val="008B2708"/>
    <w:pPr>
      <w:widowControl w:val="0"/>
      <w:suppressLineNumbers/>
      <w:suppressAutoHyphens/>
      <w:spacing w:after="0" w:line="240" w:lineRule="auto"/>
    </w:pPr>
    <w:rPr>
      <w:rFonts w:eastAsia="Times New Roman"/>
      <w:color w:val="000000"/>
      <w:lang w:val="en-US"/>
    </w:rPr>
  </w:style>
  <w:style w:type="paragraph" w:customStyle="1" w:styleId="Quotations">
    <w:name w:val="Quotations"/>
    <w:basedOn w:val="Normal"/>
    <w:rsid w:val="008B2708"/>
    <w:pPr>
      <w:widowControl w:val="0"/>
      <w:pBdr>
        <w:top w:val="single" w:sz="1" w:space="7" w:color="C0C0C0"/>
        <w:left w:val="single" w:sz="1" w:space="7" w:color="C0C0C0"/>
        <w:bottom w:val="single" w:sz="1" w:space="7" w:color="C0C0C0"/>
        <w:right w:val="single" w:sz="1" w:space="7" w:color="C0C0C0"/>
      </w:pBdr>
      <w:suppressAutoHyphens/>
      <w:spacing w:after="283" w:line="240" w:lineRule="auto"/>
      <w:ind w:left="567" w:right="567"/>
    </w:pPr>
    <w:rPr>
      <w:rFonts w:eastAsia="Times New Roman"/>
      <w:color w:val="000000"/>
      <w:lang w:val="en-US"/>
    </w:rPr>
  </w:style>
  <w:style w:type="paragraph" w:customStyle="1" w:styleId="HorizontalLine">
    <w:name w:val="Horizontal Line"/>
    <w:basedOn w:val="Normal"/>
    <w:next w:val="BodyText"/>
    <w:rsid w:val="008B2708"/>
    <w:pPr>
      <w:widowControl w:val="0"/>
      <w:pBdr>
        <w:bottom w:val="double" w:sz="1" w:space="0" w:color="808080"/>
      </w:pBdr>
      <w:suppressAutoHyphens/>
      <w:spacing w:after="283" w:line="240" w:lineRule="auto"/>
    </w:pPr>
    <w:rPr>
      <w:rFonts w:eastAsia="Times New Roman"/>
      <w:color w:val="000000"/>
      <w:sz w:val="12"/>
      <w:lang w:val="en-US"/>
    </w:rPr>
  </w:style>
  <w:style w:type="numbering" w:customStyle="1" w:styleId="NoList1">
    <w:name w:val="No List1"/>
    <w:next w:val="NoList"/>
    <w:uiPriority w:val="99"/>
    <w:semiHidden/>
    <w:unhideWhenUsed/>
    <w:rsid w:val="008B2708"/>
  </w:style>
  <w:style w:type="table" w:customStyle="1" w:styleId="TableGrid1">
    <w:name w:val="Table Grid1"/>
    <w:basedOn w:val="TableNormal"/>
    <w:next w:val="TableGrid"/>
    <w:uiPriority w:val="59"/>
    <w:rsid w:val="008B2708"/>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ibliography">
    <w:name w:val="Bibliography"/>
    <w:basedOn w:val="Normal"/>
    <w:next w:val="Normal"/>
    <w:uiPriority w:val="37"/>
    <w:unhideWhenUsed/>
    <w:rsid w:val="008B2708"/>
    <w:pPr>
      <w:widowControl w:val="0"/>
      <w:suppressAutoHyphens/>
      <w:spacing w:after="0" w:line="240" w:lineRule="auto"/>
    </w:pPr>
    <w:rPr>
      <w:rFonts w:ascii="Times New Roman" w:eastAsia="Times New Roman" w:hAnsi="Times New Roman"/>
      <w:lang w:val="en-US"/>
    </w:rPr>
  </w:style>
  <w:style w:type="character" w:customStyle="1" w:styleId="c03">
    <w:name w:val="c03"/>
    <w:basedOn w:val="DefaultParagraphFont"/>
    <w:rsid w:val="008B2708"/>
  </w:style>
  <w:style w:type="character" w:customStyle="1" w:styleId="boldtext">
    <w:name w:val="boldtext"/>
    <w:basedOn w:val="DefaultParagraphFont"/>
    <w:rsid w:val="008B2708"/>
  </w:style>
  <w:style w:type="character" w:customStyle="1" w:styleId="bodytext0">
    <w:name w:val="bodytext"/>
    <w:basedOn w:val="DefaultParagraphFont"/>
    <w:rsid w:val="008B2708"/>
  </w:style>
</w:styles>
</file>

<file path=word/webSettings.xml><?xml version="1.0" encoding="utf-8"?>
<w:webSettings xmlns:r="http://schemas.openxmlformats.org/officeDocument/2006/relationships" xmlns:w="http://schemas.openxmlformats.org/wordprocessingml/2006/main">
  <w:divs>
    <w:div w:id="197360579">
      <w:bodyDiv w:val="1"/>
      <w:marLeft w:val="0"/>
      <w:marRight w:val="0"/>
      <w:marTop w:val="0"/>
      <w:marBottom w:val="0"/>
      <w:divBdr>
        <w:top w:val="none" w:sz="0" w:space="0" w:color="auto"/>
        <w:left w:val="none" w:sz="0" w:space="0" w:color="auto"/>
        <w:bottom w:val="none" w:sz="0" w:space="0" w:color="auto"/>
        <w:right w:val="none" w:sz="0" w:space="0" w:color="auto"/>
      </w:divBdr>
    </w:div>
    <w:div w:id="925458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5DB0D3C9-74A1-4052-A4AB-DE74BA41B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1</Pages>
  <Words>6269</Words>
  <Characters>35737</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dc:creator>
  <cp:keywords/>
  <dc:description/>
  <cp:lastModifiedBy>Christine 2</cp:lastModifiedBy>
  <cp:revision>33</cp:revision>
  <dcterms:created xsi:type="dcterms:W3CDTF">2008-11-27T21:48:00Z</dcterms:created>
  <dcterms:modified xsi:type="dcterms:W3CDTF">2009-05-06T09:32:00Z</dcterms:modified>
</cp:coreProperties>
</file>